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3AC" w:rsidRPr="00750627" w:rsidRDefault="00057DFB" w:rsidP="00F533AC">
      <w:pPr>
        <w:jc w:val="right"/>
        <w:rPr>
          <w:bCs/>
        </w:rPr>
      </w:pPr>
      <w:bookmarkStart w:id="0" w:name="_GoBack"/>
      <w:bookmarkEnd w:id="0"/>
    </w:p>
    <w:p w:rsidR="00F533AC" w:rsidRDefault="00750627" w:rsidP="00F533AC">
      <w:pPr>
        <w:pBdr>
          <w:bottom w:val="single" w:sz="12" w:space="1" w:color="auto"/>
        </w:pBdr>
        <w:rPr>
          <w:b/>
          <w:bCs/>
          <w:sz w:val="28"/>
          <w:szCs w:val="28"/>
        </w:rPr>
      </w:pPr>
      <w:r>
        <w:rPr>
          <w:b/>
          <w:bCs/>
          <w:sz w:val="28"/>
          <w:szCs w:val="28"/>
        </w:rPr>
        <w:t>Treasury Management Strategy 2018/19</w:t>
      </w:r>
    </w:p>
    <w:p w:rsidR="00F533AC" w:rsidRDefault="00057DFB" w:rsidP="00F533AC">
      <w:pPr>
        <w:rPr>
          <w:b/>
          <w:bCs/>
        </w:rPr>
      </w:pPr>
    </w:p>
    <w:p w:rsidR="00F533AC" w:rsidRDefault="00750627" w:rsidP="00F533AC">
      <w:pPr>
        <w:jc w:val="both"/>
      </w:pPr>
      <w:r w:rsidRPr="001143BB">
        <w:t xml:space="preserve">Under the Local Government Act 2003, local authorities must have regard to </w:t>
      </w:r>
      <w:r>
        <w:t>s</w:t>
      </w:r>
      <w:r w:rsidRPr="001143BB">
        <w:t xml:space="preserve">tatutory </w:t>
      </w:r>
      <w:r>
        <w:t>p</w:t>
      </w:r>
      <w:r w:rsidRPr="001143BB">
        <w:t xml:space="preserve">roper </w:t>
      </w:r>
      <w:r>
        <w:t>p</w:t>
      </w:r>
      <w:r w:rsidRPr="001143BB">
        <w:t xml:space="preserve">ractices in their </w:t>
      </w:r>
      <w:r>
        <w:t>t</w:t>
      </w:r>
      <w:r w:rsidRPr="001143BB">
        <w:t xml:space="preserve">reasury </w:t>
      </w:r>
      <w:r>
        <w:t>m</w:t>
      </w:r>
      <w:r w:rsidRPr="001143BB">
        <w:t>anagement activities.</w:t>
      </w:r>
      <w:r>
        <w:t xml:space="preserve"> In effect this means the council must adhere to </w:t>
      </w:r>
      <w:r w:rsidRPr="001143BB">
        <w:t>the Chartered Institute of Public Finance and Accountancy’s</w:t>
      </w:r>
      <w:r w:rsidRPr="00E37528">
        <w:t xml:space="preserve"> </w:t>
      </w:r>
      <w:r>
        <w:t>'</w:t>
      </w:r>
      <w:r w:rsidRPr="00E37528">
        <w:t>Treasury Management in the Public Services: Code of Practice</w:t>
      </w:r>
      <w:r>
        <w:t xml:space="preserve">' </w:t>
      </w:r>
      <w:r w:rsidRPr="00E37528">
        <w:t>201</w:t>
      </w:r>
      <w:r>
        <w:t>1 edition (</w:t>
      </w:r>
      <w:r w:rsidRPr="001143BB">
        <w:t>the CIPFA Code</w:t>
      </w:r>
      <w:r>
        <w:t>),</w:t>
      </w:r>
      <w:r w:rsidRPr="001143BB">
        <w:t xml:space="preserve"> </w:t>
      </w:r>
      <w:r>
        <w:t xml:space="preserve">and the </w:t>
      </w:r>
      <w:r w:rsidRPr="002F7077">
        <w:t>Department for Communities and Local Government (</w:t>
      </w:r>
      <w:r>
        <w:t>D</w:t>
      </w:r>
      <w:r w:rsidRPr="002F7077">
        <w:t>CLG)</w:t>
      </w:r>
      <w:r>
        <w:t xml:space="preserve"> guidance on local authority investments.</w:t>
      </w:r>
    </w:p>
    <w:p w:rsidR="00F533AC" w:rsidRPr="001143BB" w:rsidRDefault="00057DFB" w:rsidP="00F533AC">
      <w:pPr>
        <w:jc w:val="both"/>
      </w:pPr>
    </w:p>
    <w:p w:rsidR="00F533AC" w:rsidRDefault="00750627" w:rsidP="00F533AC">
      <w:pPr>
        <w:jc w:val="both"/>
      </w:pPr>
      <w:r>
        <w:t xml:space="preserve">The CIPFA code </w:t>
      </w:r>
      <w:r w:rsidRPr="001143BB">
        <w:t>require</w:t>
      </w:r>
      <w:r>
        <w:t>s</w:t>
      </w:r>
      <w:r w:rsidRPr="001143BB">
        <w:t xml:space="preserve"> the </w:t>
      </w:r>
      <w:r>
        <w:t>county council</w:t>
      </w:r>
      <w:r w:rsidRPr="001143BB">
        <w:t xml:space="preserve"> to </w:t>
      </w:r>
      <w:r>
        <w:t>approve a</w:t>
      </w:r>
      <w:r w:rsidRPr="001143BB">
        <w:t xml:space="preserve"> </w:t>
      </w:r>
      <w:r>
        <w:t>T</w:t>
      </w:r>
      <w:r w:rsidRPr="001143BB">
        <w:t xml:space="preserve">reasury </w:t>
      </w:r>
      <w:r>
        <w:t>M</w:t>
      </w:r>
      <w:r w:rsidRPr="001143BB">
        <w:t xml:space="preserve">anagement </w:t>
      </w:r>
      <w:r>
        <w:t>Strategy</w:t>
      </w:r>
      <w:r w:rsidRPr="001143BB">
        <w:t xml:space="preserve"> </w:t>
      </w:r>
      <w:r>
        <w:t>and the</w:t>
      </w:r>
      <w:r w:rsidRPr="005262E1">
        <w:t xml:space="preserve"> </w:t>
      </w:r>
      <w:r>
        <w:t>DCLG</w:t>
      </w:r>
      <w:r w:rsidRPr="005262E1">
        <w:t xml:space="preserve"> guidance requires an investment strategy</w:t>
      </w:r>
      <w:r>
        <w:t xml:space="preserve"> to be approved</w:t>
      </w:r>
      <w:r w:rsidRPr="005262E1">
        <w:t xml:space="preserve"> before the start of </w:t>
      </w:r>
      <w:r>
        <w:t xml:space="preserve">each </w:t>
      </w:r>
      <w:r w:rsidRPr="005262E1">
        <w:t xml:space="preserve">financial year. </w:t>
      </w:r>
    </w:p>
    <w:p w:rsidR="00F533AC" w:rsidRDefault="00057DFB" w:rsidP="00F533AC">
      <w:pPr>
        <w:jc w:val="both"/>
      </w:pPr>
    </w:p>
    <w:p w:rsidR="00F533AC" w:rsidRDefault="00750627" w:rsidP="00F533AC">
      <w:pPr>
        <w:jc w:val="both"/>
      </w:pPr>
      <w:r>
        <w:t>Both regulations are potentially subject to change and at the time of writing a revised version of both codes has been published.</w:t>
      </w:r>
    </w:p>
    <w:p w:rsidR="00F533AC" w:rsidRDefault="00057DFB" w:rsidP="00F533AC">
      <w:pPr>
        <w:jc w:val="both"/>
      </w:pPr>
    </w:p>
    <w:p w:rsidR="00F533AC" w:rsidRDefault="00750627" w:rsidP="00F533AC">
      <w:pPr>
        <w:jc w:val="both"/>
      </w:pPr>
      <w:r w:rsidRPr="005262E1">
        <w:t>The strategy also has regard to other CIPFA treasury management publications such as</w:t>
      </w:r>
      <w:r>
        <w:t xml:space="preserve"> in relation to risk management in the </w:t>
      </w:r>
      <w:r w:rsidRPr="005262E1">
        <w:t xml:space="preserve">'Treasury </w:t>
      </w:r>
      <w:r>
        <w:t>Risk</w:t>
      </w:r>
      <w:r w:rsidRPr="005262E1">
        <w:t xml:space="preserve"> Toolkit for Local Authorities' (2012)</w:t>
      </w:r>
      <w:r>
        <w:t>, and the use of derivatives in</w:t>
      </w:r>
      <w:r w:rsidRPr="005262E1">
        <w:t xml:space="preserve"> 'Using Financial Instruments to Manage Risk' (2013</w:t>
      </w:r>
      <w:r>
        <w:t>.</w:t>
      </w:r>
      <w:r w:rsidRPr="005262E1">
        <w:t>)</w:t>
      </w:r>
      <w:r>
        <w:t xml:space="preserve"> The council is also required to publish a policy on its Minimum Revenue Provision (MRP). This does not need to form part of the Treasury Management Strategy, but as it impacts on treasury management activity it is published as part of this report.</w:t>
      </w:r>
    </w:p>
    <w:p w:rsidR="00F533AC" w:rsidRPr="001143BB" w:rsidRDefault="00057DFB" w:rsidP="00F533AC"/>
    <w:p w:rsidR="00F533AC" w:rsidRPr="001143BB" w:rsidRDefault="00750627" w:rsidP="00F533AC">
      <w:r>
        <w:t>As such, i</w:t>
      </w:r>
      <w:r w:rsidRPr="001143BB">
        <w:t>n line with these various requirements</w:t>
      </w:r>
      <w:r>
        <w:t>,</w:t>
      </w:r>
      <w:r w:rsidRPr="001143BB">
        <w:t xml:space="preserve"> this strategy includes:</w:t>
      </w:r>
    </w:p>
    <w:p w:rsidR="00F533AC" w:rsidRPr="001143BB" w:rsidRDefault="00057DFB" w:rsidP="00F533AC"/>
    <w:p w:rsidR="00F533AC" w:rsidRPr="001143BB" w:rsidRDefault="00750627" w:rsidP="00F533AC">
      <w:pPr>
        <w:pStyle w:val="ListParagraph"/>
        <w:numPr>
          <w:ilvl w:val="0"/>
          <w:numId w:val="25"/>
        </w:numPr>
      </w:pPr>
      <w:r w:rsidRPr="001143BB">
        <w:t>Borrowing Strategy</w:t>
      </w:r>
    </w:p>
    <w:p w:rsidR="00F533AC" w:rsidRPr="001143BB" w:rsidRDefault="00750627" w:rsidP="00F533AC">
      <w:pPr>
        <w:pStyle w:val="ListParagraph"/>
        <w:numPr>
          <w:ilvl w:val="0"/>
          <w:numId w:val="25"/>
        </w:numPr>
      </w:pPr>
      <w:r w:rsidRPr="001143BB">
        <w:t>Policy on Borrowing in Advance of Need</w:t>
      </w:r>
      <w:r>
        <w:t xml:space="preserve"> </w:t>
      </w:r>
    </w:p>
    <w:p w:rsidR="00F533AC" w:rsidRDefault="00750627" w:rsidP="00F533AC">
      <w:pPr>
        <w:pStyle w:val="ListParagraph"/>
        <w:numPr>
          <w:ilvl w:val="0"/>
          <w:numId w:val="25"/>
        </w:numPr>
      </w:pPr>
      <w:r w:rsidRPr="001143BB">
        <w:t>Investment Strategy</w:t>
      </w:r>
      <w:r>
        <w:t xml:space="preserve"> </w:t>
      </w:r>
    </w:p>
    <w:p w:rsidR="00F533AC" w:rsidRPr="001143BB" w:rsidRDefault="00750627" w:rsidP="00F533AC">
      <w:pPr>
        <w:pStyle w:val="ListParagraph"/>
        <w:numPr>
          <w:ilvl w:val="0"/>
          <w:numId w:val="25"/>
        </w:numPr>
      </w:pPr>
      <w:r>
        <w:t>Policy on Use of Financial Derivatives</w:t>
      </w:r>
    </w:p>
    <w:p w:rsidR="00F533AC" w:rsidRDefault="00750627" w:rsidP="00F533AC">
      <w:pPr>
        <w:pStyle w:val="ListParagraph"/>
        <w:numPr>
          <w:ilvl w:val="0"/>
          <w:numId w:val="25"/>
        </w:numPr>
      </w:pPr>
      <w:r w:rsidRPr="001143BB">
        <w:t>Prudential Indicators</w:t>
      </w:r>
      <w:r>
        <w:t xml:space="preserve"> (Annex A)</w:t>
      </w:r>
    </w:p>
    <w:p w:rsidR="00F533AC" w:rsidRDefault="00750627" w:rsidP="00F533AC">
      <w:pPr>
        <w:pStyle w:val="ListParagraph"/>
        <w:numPr>
          <w:ilvl w:val="0"/>
          <w:numId w:val="25"/>
        </w:numPr>
      </w:pPr>
      <w:r>
        <w:t>MRP statement (Annex B)</w:t>
      </w:r>
    </w:p>
    <w:p w:rsidR="00F533AC" w:rsidRPr="001143BB" w:rsidRDefault="00057DFB" w:rsidP="00F533AC"/>
    <w:p w:rsidR="00F533AC" w:rsidRPr="001143BB" w:rsidRDefault="00750627" w:rsidP="00F533AC">
      <w:pPr>
        <w:jc w:val="both"/>
      </w:pPr>
      <w:r w:rsidRPr="001143BB">
        <w:t xml:space="preserve">In conjunction with the detailed </w:t>
      </w:r>
      <w:r>
        <w:t>t</w:t>
      </w:r>
      <w:r w:rsidRPr="001143BB">
        <w:t xml:space="preserve">reasury </w:t>
      </w:r>
      <w:r>
        <w:t>m</w:t>
      </w:r>
      <w:r w:rsidRPr="001143BB">
        <w:t xml:space="preserve">anagement </w:t>
      </w:r>
      <w:r>
        <w:t>p</w:t>
      </w:r>
      <w:r w:rsidRPr="001143BB">
        <w:t xml:space="preserve">ractices approved by the </w:t>
      </w:r>
      <w:r>
        <w:t>section 151 officer</w:t>
      </w:r>
      <w:r w:rsidRPr="001143BB">
        <w:t>, the</w:t>
      </w:r>
      <w:r>
        <w:t xml:space="preserve"> strategy</w:t>
      </w:r>
      <w:r w:rsidRPr="001143BB">
        <w:t xml:space="preserve"> provide</w:t>
      </w:r>
      <w:r>
        <w:t>s</w:t>
      </w:r>
      <w:r w:rsidRPr="001143BB">
        <w:t xml:space="preserve"> the policy framework for the engagement of the </w:t>
      </w:r>
      <w:r>
        <w:t>council</w:t>
      </w:r>
      <w:r w:rsidRPr="001143BB">
        <w:t xml:space="preserve"> with financial markets in order to fund its capital investment programme</w:t>
      </w:r>
      <w:r>
        <w:t>,</w:t>
      </w:r>
      <w:r w:rsidRPr="001143BB">
        <w:t xml:space="preserve"> </w:t>
      </w:r>
      <w:r>
        <w:t xml:space="preserve">to </w:t>
      </w:r>
      <w:r w:rsidRPr="001143BB">
        <w:t>maintain the security of its cash balances</w:t>
      </w:r>
      <w:r>
        <w:t xml:space="preserve"> and protect them from credit, liquidity, inflation and interest rate risk.</w:t>
      </w:r>
    </w:p>
    <w:p w:rsidR="00F533AC" w:rsidRPr="001143BB" w:rsidRDefault="00057DFB" w:rsidP="00F533AC">
      <w:pPr>
        <w:jc w:val="both"/>
        <w:rPr>
          <w:highlight w:val="yellow"/>
        </w:rPr>
      </w:pPr>
    </w:p>
    <w:p w:rsidR="00F533AC" w:rsidRPr="00D52D02" w:rsidRDefault="00750627" w:rsidP="00F533AC">
      <w:pPr>
        <w:rPr>
          <w:b/>
          <w:i/>
        </w:rPr>
      </w:pPr>
      <w:r w:rsidRPr="00D52D02">
        <w:rPr>
          <w:b/>
          <w:bCs/>
          <w:i/>
        </w:rPr>
        <w:t>Strategic</w:t>
      </w:r>
      <w:r w:rsidRPr="00D52D02">
        <w:rPr>
          <w:b/>
          <w:i/>
        </w:rPr>
        <w:t xml:space="preserve"> Objectives of the Treasury Management Strategy</w:t>
      </w:r>
    </w:p>
    <w:p w:rsidR="00F533AC" w:rsidRPr="00C36B45" w:rsidRDefault="00057DFB" w:rsidP="00F533AC">
      <w:pPr>
        <w:jc w:val="both"/>
      </w:pPr>
    </w:p>
    <w:p w:rsidR="00F533AC" w:rsidRPr="0085169E" w:rsidRDefault="00750627" w:rsidP="00F533AC">
      <w:pPr>
        <w:jc w:val="both"/>
        <w:rPr>
          <w:highlight w:val="green"/>
        </w:rPr>
      </w:pPr>
      <w:r w:rsidRPr="00C36B45">
        <w:t xml:space="preserve">The </w:t>
      </w:r>
      <w:r>
        <w:t>c</w:t>
      </w:r>
      <w:r w:rsidRPr="00C36B45">
        <w:t>ouncil's treasury management strategy is designed to achieve the following objectives:</w:t>
      </w:r>
    </w:p>
    <w:p w:rsidR="00F533AC" w:rsidRPr="0085169E" w:rsidRDefault="00057DFB" w:rsidP="00F533AC">
      <w:pPr>
        <w:jc w:val="both"/>
        <w:rPr>
          <w:highlight w:val="green"/>
        </w:rPr>
      </w:pPr>
    </w:p>
    <w:p w:rsidR="00F533AC" w:rsidRPr="00A6269B" w:rsidRDefault="00750627" w:rsidP="00F533AC">
      <w:pPr>
        <w:pStyle w:val="ListParagraph"/>
        <w:numPr>
          <w:ilvl w:val="0"/>
          <w:numId w:val="4"/>
        </w:numPr>
        <w:jc w:val="both"/>
      </w:pPr>
      <w:r w:rsidRPr="00A6269B">
        <w:t xml:space="preserve">To ensure the security of the principal sums invested which represent the </w:t>
      </w:r>
      <w:r>
        <w:t>c</w:t>
      </w:r>
      <w:r w:rsidRPr="00A6269B">
        <w:t xml:space="preserve">ounty </w:t>
      </w:r>
      <w:r>
        <w:t>c</w:t>
      </w:r>
      <w:r w:rsidRPr="00A6269B">
        <w:t>ouncil's various reserves and balances</w:t>
      </w:r>
      <w:r>
        <w:t>.</w:t>
      </w:r>
    </w:p>
    <w:p w:rsidR="00F533AC" w:rsidRPr="00A6269B" w:rsidRDefault="00750627" w:rsidP="00F533AC">
      <w:pPr>
        <w:pStyle w:val="ListParagraph"/>
        <w:numPr>
          <w:ilvl w:val="0"/>
          <w:numId w:val="4"/>
        </w:numPr>
        <w:jc w:val="both"/>
      </w:pPr>
      <w:r w:rsidRPr="00A6269B">
        <w:t xml:space="preserve">To ensure that the </w:t>
      </w:r>
      <w:r>
        <w:t>c</w:t>
      </w:r>
      <w:r w:rsidRPr="00A6269B">
        <w:t xml:space="preserve">ounty </w:t>
      </w:r>
      <w:r>
        <w:t>c</w:t>
      </w:r>
      <w:r w:rsidRPr="00A6269B">
        <w:t>ouncil has access to cash resources as and when required</w:t>
      </w:r>
      <w:r>
        <w:t>.</w:t>
      </w:r>
    </w:p>
    <w:p w:rsidR="00F533AC" w:rsidRPr="00A6269B" w:rsidRDefault="00750627" w:rsidP="00F533AC">
      <w:pPr>
        <w:pStyle w:val="ListParagraph"/>
        <w:numPr>
          <w:ilvl w:val="0"/>
          <w:numId w:val="4"/>
        </w:numPr>
        <w:jc w:val="both"/>
      </w:pPr>
      <w:r w:rsidRPr="00A6269B">
        <w:lastRenderedPageBreak/>
        <w:t xml:space="preserve">To minimise the cost of the borrowing required to finance the </w:t>
      </w:r>
      <w:r>
        <w:t>c</w:t>
      </w:r>
      <w:r w:rsidRPr="00A6269B">
        <w:t xml:space="preserve">ounty </w:t>
      </w:r>
      <w:r>
        <w:t>c</w:t>
      </w:r>
      <w:r w:rsidRPr="00A6269B">
        <w:t>ouncil's capital investment programme, and manage interest and inflation rate risks appropriately</w:t>
      </w:r>
      <w:r>
        <w:t xml:space="preserve">. </w:t>
      </w:r>
    </w:p>
    <w:p w:rsidR="00F533AC" w:rsidRPr="00A6269B" w:rsidRDefault="00750627" w:rsidP="00F533AC">
      <w:pPr>
        <w:pStyle w:val="ListParagraph"/>
        <w:numPr>
          <w:ilvl w:val="0"/>
          <w:numId w:val="4"/>
        </w:numPr>
        <w:jc w:val="both"/>
      </w:pPr>
      <w:r w:rsidRPr="00A6269B">
        <w:t xml:space="preserve">To maximise investment returns commensurate with the </w:t>
      </w:r>
      <w:r>
        <w:t>c</w:t>
      </w:r>
      <w:r w:rsidRPr="00A6269B">
        <w:t xml:space="preserve">ounty </w:t>
      </w:r>
      <w:r>
        <w:t>c</w:t>
      </w:r>
      <w:r w:rsidRPr="00A6269B">
        <w:t>ouncil's policy of minimising risks to the security of capital and its liquidity position.</w:t>
      </w:r>
    </w:p>
    <w:p w:rsidR="00F533AC" w:rsidRPr="0085169E" w:rsidRDefault="00057DFB" w:rsidP="00F533AC">
      <w:pPr>
        <w:rPr>
          <w:highlight w:val="green"/>
        </w:rPr>
      </w:pPr>
    </w:p>
    <w:p w:rsidR="00F533AC" w:rsidRPr="00D52D02" w:rsidRDefault="00750627" w:rsidP="00F533AC">
      <w:pPr>
        <w:rPr>
          <w:b/>
          <w:bCs/>
          <w:i/>
        </w:rPr>
      </w:pPr>
      <w:r w:rsidRPr="00D52D02">
        <w:rPr>
          <w:b/>
          <w:bCs/>
          <w:i/>
        </w:rPr>
        <w:t>Setting the Treasury Management Strategy for 2018/19</w:t>
      </w:r>
    </w:p>
    <w:p w:rsidR="00F533AC" w:rsidRPr="001143BB" w:rsidRDefault="00057DFB" w:rsidP="00F533AC"/>
    <w:p w:rsidR="00F533AC" w:rsidRPr="001143BB" w:rsidRDefault="00750627" w:rsidP="00F533AC">
      <w:pPr>
        <w:jc w:val="both"/>
      </w:pPr>
      <w:r w:rsidRPr="001143BB">
        <w:t xml:space="preserve">In setting the treasury management strategy, the </w:t>
      </w:r>
      <w:r>
        <w:t>council</w:t>
      </w:r>
      <w:r w:rsidRPr="001143BB">
        <w:t xml:space="preserve"> must </w:t>
      </w:r>
      <w:r>
        <w:t>consider</w:t>
      </w:r>
      <w:r w:rsidRPr="001143BB">
        <w:t xml:space="preserve"> the following factors which will have a strong influence over </w:t>
      </w:r>
      <w:r>
        <w:t>the appropriateness of treasury management plans</w:t>
      </w:r>
      <w:r w:rsidRPr="001143BB">
        <w:t xml:space="preserve">: </w:t>
      </w:r>
    </w:p>
    <w:p w:rsidR="00F533AC" w:rsidRPr="001143BB" w:rsidRDefault="00057DFB" w:rsidP="00F533AC">
      <w:pPr>
        <w:jc w:val="both"/>
      </w:pPr>
    </w:p>
    <w:p w:rsidR="00F533AC" w:rsidRDefault="00750627" w:rsidP="00F533AC">
      <w:pPr>
        <w:pStyle w:val="ListParagraph"/>
        <w:numPr>
          <w:ilvl w:val="0"/>
          <w:numId w:val="3"/>
        </w:numPr>
        <w:jc w:val="both"/>
      </w:pPr>
      <w:r w:rsidRPr="001143BB">
        <w:t>economic forecasts</w:t>
      </w:r>
      <w:r>
        <w:t xml:space="preserve">; </w:t>
      </w:r>
    </w:p>
    <w:p w:rsidR="00F533AC" w:rsidRDefault="00750627" w:rsidP="00F533AC">
      <w:pPr>
        <w:pStyle w:val="ListParagraph"/>
        <w:numPr>
          <w:ilvl w:val="0"/>
          <w:numId w:val="3"/>
        </w:numPr>
        <w:jc w:val="both"/>
      </w:pPr>
      <w:r w:rsidRPr="001143BB">
        <w:t>prospects for interest rates</w:t>
      </w:r>
      <w:r>
        <w:t>;</w:t>
      </w:r>
    </w:p>
    <w:p w:rsidR="00F533AC" w:rsidRDefault="00750627" w:rsidP="00F533AC">
      <w:pPr>
        <w:pStyle w:val="ListParagraph"/>
        <w:numPr>
          <w:ilvl w:val="0"/>
          <w:numId w:val="3"/>
        </w:numPr>
        <w:jc w:val="both"/>
      </w:pPr>
      <w:r w:rsidRPr="001143BB">
        <w:t xml:space="preserve">the current structure of the </w:t>
      </w:r>
      <w:r>
        <w:t>council</w:t>
      </w:r>
      <w:r w:rsidRPr="001143BB">
        <w:t>'s investment and debt portfolio</w:t>
      </w:r>
      <w:r>
        <w:t>;</w:t>
      </w:r>
    </w:p>
    <w:p w:rsidR="00F533AC" w:rsidRPr="001143BB" w:rsidRDefault="00750627" w:rsidP="00F533AC">
      <w:pPr>
        <w:pStyle w:val="ListParagraph"/>
        <w:numPr>
          <w:ilvl w:val="0"/>
          <w:numId w:val="3"/>
        </w:numPr>
        <w:jc w:val="both"/>
      </w:pPr>
      <w:proofErr w:type="gramStart"/>
      <w:r>
        <w:t>estimates</w:t>
      </w:r>
      <w:proofErr w:type="gramEnd"/>
      <w:r>
        <w:t xml:space="preserve"> of future borrowing and investment requirements.</w:t>
      </w:r>
    </w:p>
    <w:p w:rsidR="00F533AC" w:rsidRPr="001143BB" w:rsidRDefault="00057DFB" w:rsidP="00F533AC">
      <w:pPr>
        <w:pStyle w:val="ListParagraph"/>
        <w:ind w:left="360"/>
        <w:jc w:val="both"/>
      </w:pPr>
    </w:p>
    <w:p w:rsidR="00F533AC" w:rsidRPr="00354B3D" w:rsidRDefault="00750627" w:rsidP="00F533AC">
      <w:pPr>
        <w:jc w:val="both"/>
        <w:rPr>
          <w:b/>
          <w:i/>
        </w:rPr>
      </w:pPr>
      <w:r w:rsidRPr="00354B3D">
        <w:rPr>
          <w:b/>
          <w:bCs/>
          <w:i/>
        </w:rPr>
        <w:t>Economic</w:t>
      </w:r>
      <w:r w:rsidRPr="00354B3D">
        <w:rPr>
          <w:b/>
          <w:i/>
        </w:rPr>
        <w:t xml:space="preserve"> Forecast </w:t>
      </w:r>
    </w:p>
    <w:p w:rsidR="00F533AC" w:rsidRDefault="00057DFB" w:rsidP="00F533AC">
      <w:pPr>
        <w:jc w:val="both"/>
      </w:pPr>
    </w:p>
    <w:p w:rsidR="00F533AC" w:rsidRDefault="00750627" w:rsidP="00F533AC">
      <w:pPr>
        <w:jc w:val="both"/>
      </w:pPr>
      <w:r>
        <w:t>The forecast economic conditions include an expectation that growth in the next few years will be low. Negotiations on the UK exit from the European Union and future trade relations is causing uncertainty. The progress and final outcome of these negotiations may impact on economic growth not only in 2018/19 but also in future years. In his budget in November 2017, the Chancellor of the Exchequer announced forecasts of growth which were significantly less than those given in the budget of spring 2017. The forecast was as follows:</w:t>
      </w:r>
    </w:p>
    <w:p w:rsidR="00F533AC" w:rsidRDefault="00057DFB" w:rsidP="00F533AC">
      <w:pPr>
        <w:jc w:val="both"/>
      </w:pPr>
    </w:p>
    <w:tbl>
      <w:tblPr>
        <w:tblStyle w:val="TableGrid"/>
        <w:tblW w:w="0" w:type="auto"/>
        <w:tblLook w:val="04A0" w:firstRow="1" w:lastRow="0" w:firstColumn="1" w:lastColumn="0" w:noHBand="0" w:noVBand="1"/>
      </w:tblPr>
      <w:tblGrid>
        <w:gridCol w:w="3005"/>
        <w:gridCol w:w="3005"/>
        <w:gridCol w:w="3006"/>
      </w:tblGrid>
      <w:tr w:rsidR="00CB5B91" w:rsidTr="00F533AC">
        <w:tc>
          <w:tcPr>
            <w:tcW w:w="3005" w:type="dxa"/>
          </w:tcPr>
          <w:p w:rsidR="00F533AC" w:rsidRDefault="00057DFB" w:rsidP="00F533AC">
            <w:pPr>
              <w:jc w:val="both"/>
            </w:pPr>
          </w:p>
        </w:tc>
        <w:tc>
          <w:tcPr>
            <w:tcW w:w="3005" w:type="dxa"/>
          </w:tcPr>
          <w:p w:rsidR="00F533AC" w:rsidRDefault="00750627" w:rsidP="00F533AC">
            <w:pPr>
              <w:jc w:val="both"/>
            </w:pPr>
            <w:r>
              <w:t>November 2017 Budget</w:t>
            </w:r>
          </w:p>
        </w:tc>
        <w:tc>
          <w:tcPr>
            <w:tcW w:w="3006" w:type="dxa"/>
          </w:tcPr>
          <w:p w:rsidR="00F533AC" w:rsidRDefault="00750627" w:rsidP="00F533AC">
            <w:pPr>
              <w:jc w:val="both"/>
            </w:pPr>
            <w:r>
              <w:t>Spring Budget</w:t>
            </w:r>
          </w:p>
        </w:tc>
      </w:tr>
      <w:tr w:rsidR="00CB5B91" w:rsidTr="00F533AC">
        <w:tc>
          <w:tcPr>
            <w:tcW w:w="3005" w:type="dxa"/>
          </w:tcPr>
          <w:p w:rsidR="00F533AC" w:rsidRDefault="00750627" w:rsidP="00F533AC">
            <w:pPr>
              <w:jc w:val="both"/>
            </w:pPr>
            <w:r>
              <w:t>2017/18</w:t>
            </w:r>
          </w:p>
        </w:tc>
        <w:tc>
          <w:tcPr>
            <w:tcW w:w="3005" w:type="dxa"/>
          </w:tcPr>
          <w:p w:rsidR="00F533AC" w:rsidRDefault="00750627" w:rsidP="00F533AC">
            <w:pPr>
              <w:jc w:val="both"/>
            </w:pPr>
            <w:r>
              <w:t>1.5%</w:t>
            </w:r>
          </w:p>
        </w:tc>
        <w:tc>
          <w:tcPr>
            <w:tcW w:w="3006" w:type="dxa"/>
          </w:tcPr>
          <w:p w:rsidR="00F533AC" w:rsidRDefault="00750627" w:rsidP="00F533AC">
            <w:pPr>
              <w:jc w:val="both"/>
            </w:pPr>
            <w:r>
              <w:t>1.8%</w:t>
            </w:r>
          </w:p>
        </w:tc>
      </w:tr>
      <w:tr w:rsidR="00CB5B91" w:rsidTr="00F533AC">
        <w:tc>
          <w:tcPr>
            <w:tcW w:w="3005" w:type="dxa"/>
          </w:tcPr>
          <w:p w:rsidR="00F533AC" w:rsidRDefault="00750627" w:rsidP="00F533AC">
            <w:pPr>
              <w:jc w:val="both"/>
            </w:pPr>
            <w:r>
              <w:t>2018/19</w:t>
            </w:r>
          </w:p>
        </w:tc>
        <w:tc>
          <w:tcPr>
            <w:tcW w:w="3005" w:type="dxa"/>
          </w:tcPr>
          <w:p w:rsidR="00F533AC" w:rsidRDefault="00750627" w:rsidP="00F533AC">
            <w:pPr>
              <w:jc w:val="both"/>
            </w:pPr>
            <w:r>
              <w:t>1.4%</w:t>
            </w:r>
          </w:p>
        </w:tc>
        <w:tc>
          <w:tcPr>
            <w:tcW w:w="3006" w:type="dxa"/>
          </w:tcPr>
          <w:p w:rsidR="00F533AC" w:rsidRDefault="00750627" w:rsidP="00F533AC">
            <w:pPr>
              <w:jc w:val="both"/>
            </w:pPr>
            <w:r>
              <w:t>1.6%</w:t>
            </w:r>
          </w:p>
        </w:tc>
      </w:tr>
      <w:tr w:rsidR="00CB5B91" w:rsidTr="00F533AC">
        <w:tc>
          <w:tcPr>
            <w:tcW w:w="3005" w:type="dxa"/>
          </w:tcPr>
          <w:p w:rsidR="00F533AC" w:rsidRDefault="00750627" w:rsidP="00F533AC">
            <w:pPr>
              <w:jc w:val="both"/>
            </w:pPr>
            <w:r>
              <w:t>2019/20</w:t>
            </w:r>
          </w:p>
        </w:tc>
        <w:tc>
          <w:tcPr>
            <w:tcW w:w="3005" w:type="dxa"/>
          </w:tcPr>
          <w:p w:rsidR="00F533AC" w:rsidRDefault="00750627" w:rsidP="00F533AC">
            <w:pPr>
              <w:jc w:val="both"/>
            </w:pPr>
            <w:r>
              <w:t>1.3%</w:t>
            </w:r>
          </w:p>
        </w:tc>
        <w:tc>
          <w:tcPr>
            <w:tcW w:w="3006" w:type="dxa"/>
          </w:tcPr>
          <w:p w:rsidR="00F533AC" w:rsidRDefault="00750627" w:rsidP="00F533AC">
            <w:pPr>
              <w:jc w:val="both"/>
            </w:pPr>
            <w:r>
              <w:t>1.8%</w:t>
            </w:r>
          </w:p>
        </w:tc>
      </w:tr>
      <w:tr w:rsidR="00CB5B91" w:rsidTr="00F533AC">
        <w:tc>
          <w:tcPr>
            <w:tcW w:w="3005" w:type="dxa"/>
          </w:tcPr>
          <w:p w:rsidR="00F533AC" w:rsidRDefault="00750627" w:rsidP="00F533AC">
            <w:pPr>
              <w:jc w:val="both"/>
            </w:pPr>
            <w:r>
              <w:t>2020/21</w:t>
            </w:r>
          </w:p>
        </w:tc>
        <w:tc>
          <w:tcPr>
            <w:tcW w:w="3005" w:type="dxa"/>
          </w:tcPr>
          <w:p w:rsidR="00F533AC" w:rsidRDefault="00750627" w:rsidP="00F533AC">
            <w:pPr>
              <w:jc w:val="both"/>
            </w:pPr>
            <w:r>
              <w:t>1.5%</w:t>
            </w:r>
          </w:p>
        </w:tc>
        <w:tc>
          <w:tcPr>
            <w:tcW w:w="3006" w:type="dxa"/>
          </w:tcPr>
          <w:p w:rsidR="00F533AC" w:rsidRDefault="00750627" w:rsidP="00F533AC">
            <w:pPr>
              <w:jc w:val="both"/>
            </w:pPr>
            <w:r>
              <w:t>1.9%</w:t>
            </w:r>
          </w:p>
        </w:tc>
      </w:tr>
      <w:tr w:rsidR="00CB5B91" w:rsidTr="00F533AC">
        <w:tc>
          <w:tcPr>
            <w:tcW w:w="3005" w:type="dxa"/>
          </w:tcPr>
          <w:p w:rsidR="00F533AC" w:rsidRDefault="00750627" w:rsidP="00F533AC">
            <w:pPr>
              <w:jc w:val="both"/>
            </w:pPr>
            <w:r>
              <w:t>2021/22</w:t>
            </w:r>
          </w:p>
        </w:tc>
        <w:tc>
          <w:tcPr>
            <w:tcW w:w="3005" w:type="dxa"/>
          </w:tcPr>
          <w:p w:rsidR="00F533AC" w:rsidRDefault="00750627" w:rsidP="00F533AC">
            <w:pPr>
              <w:jc w:val="both"/>
            </w:pPr>
            <w:r>
              <w:t>1.5%</w:t>
            </w:r>
          </w:p>
        </w:tc>
        <w:tc>
          <w:tcPr>
            <w:tcW w:w="3006" w:type="dxa"/>
          </w:tcPr>
          <w:p w:rsidR="00F533AC" w:rsidRDefault="00750627" w:rsidP="00F533AC">
            <w:pPr>
              <w:jc w:val="both"/>
            </w:pPr>
            <w:r>
              <w:t>2.0%</w:t>
            </w:r>
          </w:p>
        </w:tc>
      </w:tr>
    </w:tbl>
    <w:p w:rsidR="00F533AC" w:rsidRDefault="00057DFB" w:rsidP="00F533AC">
      <w:pPr>
        <w:jc w:val="both"/>
      </w:pPr>
    </w:p>
    <w:p w:rsidR="00F533AC" w:rsidRDefault="00750627" w:rsidP="00F533AC">
      <w:pPr>
        <w:jc w:val="both"/>
      </w:pPr>
      <w:r>
        <w:t>Inflation increased during 2017 with the Consumer Price Index (CPI) rising to 3.0% in September. This was largely as a result of the impact of the fall in the value of sterling following the Brexit decision but it is anticipated that inflation will fall from this position. The forecast CPI in the Chancellor's budget was as follows:</w:t>
      </w:r>
    </w:p>
    <w:p w:rsidR="00F533AC" w:rsidRDefault="00057DFB" w:rsidP="00F533A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134"/>
      </w:tblGrid>
      <w:tr w:rsidR="00CB5B91" w:rsidTr="00F533AC">
        <w:tc>
          <w:tcPr>
            <w:tcW w:w="1271" w:type="dxa"/>
          </w:tcPr>
          <w:p w:rsidR="00F533AC" w:rsidRDefault="00750627" w:rsidP="00F533AC">
            <w:r>
              <w:t>2017/18</w:t>
            </w:r>
          </w:p>
        </w:tc>
        <w:tc>
          <w:tcPr>
            <w:tcW w:w="1134" w:type="dxa"/>
          </w:tcPr>
          <w:p w:rsidR="00F533AC" w:rsidRDefault="00750627" w:rsidP="00F533AC">
            <w:r>
              <w:t>3.0%</w:t>
            </w:r>
          </w:p>
        </w:tc>
      </w:tr>
      <w:tr w:rsidR="00CB5B91" w:rsidTr="00F533AC">
        <w:tc>
          <w:tcPr>
            <w:tcW w:w="1271" w:type="dxa"/>
          </w:tcPr>
          <w:p w:rsidR="00F533AC" w:rsidRDefault="00750627" w:rsidP="00F533AC">
            <w:r>
              <w:t>2018/19</w:t>
            </w:r>
          </w:p>
        </w:tc>
        <w:tc>
          <w:tcPr>
            <w:tcW w:w="1134" w:type="dxa"/>
          </w:tcPr>
          <w:p w:rsidR="00F533AC" w:rsidRDefault="00750627" w:rsidP="00F533AC">
            <w:r>
              <w:t>2.2%</w:t>
            </w:r>
          </w:p>
        </w:tc>
      </w:tr>
      <w:tr w:rsidR="00CB5B91" w:rsidTr="00F533AC">
        <w:tc>
          <w:tcPr>
            <w:tcW w:w="1271" w:type="dxa"/>
          </w:tcPr>
          <w:p w:rsidR="00F533AC" w:rsidRDefault="00750627" w:rsidP="00F533AC">
            <w:r>
              <w:t>2019/20</w:t>
            </w:r>
          </w:p>
        </w:tc>
        <w:tc>
          <w:tcPr>
            <w:tcW w:w="1134" w:type="dxa"/>
          </w:tcPr>
          <w:p w:rsidR="00F533AC" w:rsidRDefault="00750627" w:rsidP="00F533AC">
            <w:r>
              <w:t>1.8%</w:t>
            </w:r>
          </w:p>
        </w:tc>
      </w:tr>
      <w:tr w:rsidR="00CB5B91" w:rsidTr="00F533AC">
        <w:tc>
          <w:tcPr>
            <w:tcW w:w="1271" w:type="dxa"/>
          </w:tcPr>
          <w:p w:rsidR="00F533AC" w:rsidRDefault="00750627" w:rsidP="00F533AC">
            <w:r>
              <w:t>2020/21</w:t>
            </w:r>
          </w:p>
        </w:tc>
        <w:tc>
          <w:tcPr>
            <w:tcW w:w="1134" w:type="dxa"/>
          </w:tcPr>
          <w:p w:rsidR="00F533AC" w:rsidRDefault="00750627" w:rsidP="00F533AC">
            <w:r>
              <w:t>2.0%</w:t>
            </w:r>
          </w:p>
        </w:tc>
      </w:tr>
      <w:tr w:rsidR="00CB5B91" w:rsidTr="00F533AC">
        <w:tc>
          <w:tcPr>
            <w:tcW w:w="1271" w:type="dxa"/>
          </w:tcPr>
          <w:p w:rsidR="00F533AC" w:rsidRDefault="00750627" w:rsidP="00F533AC">
            <w:r>
              <w:t>2021/22</w:t>
            </w:r>
          </w:p>
        </w:tc>
        <w:tc>
          <w:tcPr>
            <w:tcW w:w="1134" w:type="dxa"/>
          </w:tcPr>
          <w:p w:rsidR="00F533AC" w:rsidRDefault="00750627" w:rsidP="00F533AC">
            <w:r>
              <w:t>2.0%</w:t>
            </w:r>
          </w:p>
        </w:tc>
      </w:tr>
      <w:tr w:rsidR="00CB5B91" w:rsidTr="00F533AC">
        <w:tc>
          <w:tcPr>
            <w:tcW w:w="1271" w:type="dxa"/>
          </w:tcPr>
          <w:p w:rsidR="00F533AC" w:rsidRDefault="00057DFB" w:rsidP="00F533AC"/>
        </w:tc>
        <w:tc>
          <w:tcPr>
            <w:tcW w:w="1134" w:type="dxa"/>
          </w:tcPr>
          <w:p w:rsidR="00F533AC" w:rsidRDefault="00057DFB" w:rsidP="00F533AC"/>
        </w:tc>
      </w:tr>
    </w:tbl>
    <w:p w:rsidR="00F533AC" w:rsidRDefault="00750627" w:rsidP="00F533AC">
      <w:pPr>
        <w:jc w:val="both"/>
      </w:pPr>
      <w:r>
        <w:t xml:space="preserve">With inflation increasing and unemployment remaining low during 2017/18 the Bank of England believed that </w:t>
      </w:r>
      <w:r w:rsidRPr="00BF1E97">
        <w:t>the extent of spare capacity in the economy seemed limited and the pace at which the economy c</w:t>
      </w:r>
      <w:r>
        <w:t>ould</w:t>
      </w:r>
      <w:r w:rsidRPr="00BF1E97">
        <w:t xml:space="preserve"> grow without generating inflationary pressure had fallen over recent years.</w:t>
      </w:r>
      <w:r>
        <w:t xml:space="preserve"> Therefore the Monetary Policy Committee of the Bank of England concluded that a rise in interest rates was appropriate. In </w:t>
      </w:r>
      <w:r>
        <w:lastRenderedPageBreak/>
        <w:t xml:space="preserve">November 2017 they raised the base rate for the first time in a decade with the base rate increasing from 0.25% to 0.50% </w:t>
      </w:r>
    </w:p>
    <w:p w:rsidR="00F533AC" w:rsidRDefault="00057DFB" w:rsidP="00F533AC">
      <w:pPr>
        <w:jc w:val="both"/>
      </w:pPr>
    </w:p>
    <w:p w:rsidR="00F533AC" w:rsidRDefault="00750627" w:rsidP="00F533AC">
      <w:pPr>
        <w:pStyle w:val="ListParagraph"/>
        <w:ind w:left="0"/>
        <w:contextualSpacing w:val="0"/>
        <w:jc w:val="both"/>
      </w:pPr>
      <w:r w:rsidRPr="0085169E">
        <w:t>Looking forward</w:t>
      </w:r>
      <w:r>
        <w:t>,</w:t>
      </w:r>
      <w:r w:rsidRPr="0085169E">
        <w:t xml:space="preserve"> </w:t>
      </w:r>
      <w:r>
        <w:t>t</w:t>
      </w:r>
      <w:r w:rsidRPr="0085169E">
        <w:t>he</w:t>
      </w:r>
      <w:r>
        <w:t xml:space="preserve"> forecast from the</w:t>
      </w:r>
      <w:r w:rsidRPr="0085169E">
        <w:t xml:space="preserve"> </w:t>
      </w:r>
      <w:r>
        <w:t>Council's</w:t>
      </w:r>
      <w:r w:rsidRPr="0085169E">
        <w:t xml:space="preserve"> treasury adviser</w:t>
      </w:r>
      <w:r>
        <w:t>s,</w:t>
      </w:r>
      <w:r w:rsidRPr="0085169E">
        <w:t xml:space="preserve"> </w:t>
      </w:r>
      <w:proofErr w:type="spellStart"/>
      <w:r w:rsidRPr="0085169E">
        <w:t>Arlingclose</w:t>
      </w:r>
      <w:proofErr w:type="spellEnd"/>
      <w:r>
        <w:t>,</w:t>
      </w:r>
      <w:r w:rsidRPr="0085169E">
        <w:t xml:space="preserve"> is for UK Bank Rate to remain at 0.50% during 2018/19</w:t>
      </w:r>
      <w:r w:rsidRPr="0085169E">
        <w:rPr>
          <w:bCs/>
        </w:rPr>
        <w:t>. The</w:t>
      </w:r>
      <w:r w:rsidRPr="0085169E">
        <w:t xml:space="preserve"> Monetary Policy Committee emphasised that any prospective increases in Bank Rate would be expected to be at a gradual pace and to a limited extent.</w:t>
      </w:r>
    </w:p>
    <w:p w:rsidR="00F533AC" w:rsidRPr="0085169E" w:rsidRDefault="00057DFB" w:rsidP="00F533AC">
      <w:pPr>
        <w:pStyle w:val="ListParagraph"/>
        <w:ind w:left="0"/>
        <w:contextualSpacing w:val="0"/>
        <w:jc w:val="both"/>
      </w:pPr>
    </w:p>
    <w:p w:rsidR="00F533AC" w:rsidRDefault="00750627" w:rsidP="00F533AC">
      <w:pPr>
        <w:pStyle w:val="ListParagraph"/>
        <w:ind w:left="0"/>
        <w:contextualSpacing w:val="0"/>
        <w:jc w:val="both"/>
      </w:pPr>
      <w:r w:rsidRPr="0085169E">
        <w:t>Future expectations for higher</w:t>
      </w:r>
      <w:r>
        <w:t>,</w:t>
      </w:r>
      <w:r w:rsidRPr="0085169E">
        <w:t xml:space="preserve"> short term</w:t>
      </w:r>
      <w:r>
        <w:t>,</w:t>
      </w:r>
      <w:r w:rsidRPr="0085169E">
        <w:t xml:space="preserve"> interest rates are subdued </w:t>
      </w:r>
      <w:r>
        <w:t>with</w:t>
      </w:r>
      <w:r w:rsidRPr="0085169E">
        <w:t xml:space="preserve"> on-going decisions remain</w:t>
      </w:r>
      <w:r>
        <w:t>ing</w:t>
      </w:r>
      <w:r w:rsidRPr="0085169E">
        <w:t xml:space="preserve"> data</w:t>
      </w:r>
      <w:r>
        <w:t>-</w:t>
      </w:r>
      <w:r w:rsidRPr="0085169E">
        <w:t>dependant and negotiations on exiting the EU cast</w:t>
      </w:r>
      <w:r>
        <w:t>ing</w:t>
      </w:r>
      <w:r w:rsidRPr="0085169E">
        <w:t xml:space="preserve"> a shadow over monetary policy decisions. The risks to</w:t>
      </w:r>
      <w:r>
        <w:t xml:space="preserve"> the</w:t>
      </w:r>
      <w:r w:rsidRPr="0085169E">
        <w:t xml:space="preserve"> </w:t>
      </w:r>
      <w:proofErr w:type="spellStart"/>
      <w:r w:rsidRPr="0085169E">
        <w:t>Arlingclose</w:t>
      </w:r>
      <w:proofErr w:type="spellEnd"/>
      <w:r w:rsidRPr="0085169E">
        <w:t xml:space="preserve"> forecast are broadly balanced on both sides. </w:t>
      </w:r>
    </w:p>
    <w:p w:rsidR="00F533AC" w:rsidRDefault="00057DFB" w:rsidP="00F533AC">
      <w:pPr>
        <w:jc w:val="both"/>
      </w:pPr>
    </w:p>
    <w:p w:rsidR="00F533AC" w:rsidRPr="00BF7A76" w:rsidRDefault="00750627" w:rsidP="00F533AC">
      <w:pPr>
        <w:jc w:val="both"/>
        <w:rPr>
          <w:b/>
          <w:i/>
        </w:rPr>
      </w:pPr>
      <w:r w:rsidRPr="00BF7A76">
        <w:rPr>
          <w:b/>
          <w:i/>
        </w:rPr>
        <w:t>The Current Structure of the Portfolio</w:t>
      </w:r>
    </w:p>
    <w:p w:rsidR="00F533AC" w:rsidRDefault="00057DFB" w:rsidP="00F533AC">
      <w:pPr>
        <w:jc w:val="both"/>
      </w:pPr>
    </w:p>
    <w:p w:rsidR="00F533AC" w:rsidRDefault="00750627" w:rsidP="00F533AC">
      <w:pPr>
        <w:jc w:val="both"/>
      </w:pPr>
      <w:r>
        <w:t>The council’s treasury portfolio (net of transferred debt) as at 30th November</w:t>
      </w:r>
      <w:r w:rsidRPr="00BF0506">
        <w:t xml:space="preserve"> 201</w:t>
      </w:r>
      <w:r>
        <w:t xml:space="preserve">7 was as follows. </w:t>
      </w:r>
    </w:p>
    <w:tbl>
      <w:tblPr>
        <w:tblW w:w="8931" w:type="dxa"/>
        <w:tblLook w:val="04A0" w:firstRow="1" w:lastRow="0" w:firstColumn="1" w:lastColumn="0" w:noHBand="0" w:noVBand="1"/>
      </w:tblPr>
      <w:tblGrid>
        <w:gridCol w:w="5954"/>
        <w:gridCol w:w="1284"/>
        <w:gridCol w:w="1701"/>
      </w:tblGrid>
      <w:tr w:rsidR="00CB5B91" w:rsidTr="00F533AC">
        <w:trPr>
          <w:trHeight w:val="291"/>
        </w:trPr>
        <w:tc>
          <w:tcPr>
            <w:tcW w:w="5954" w:type="dxa"/>
            <w:tcBorders>
              <w:top w:val="nil"/>
              <w:left w:val="nil"/>
              <w:bottom w:val="nil"/>
              <w:right w:val="nil"/>
            </w:tcBorders>
            <w:shd w:val="clear" w:color="auto" w:fill="auto"/>
            <w:noWrap/>
            <w:vAlign w:val="bottom"/>
            <w:hideMark/>
          </w:tcPr>
          <w:p w:rsidR="00F533AC" w:rsidRPr="00354B3D" w:rsidRDefault="00057DFB" w:rsidP="00F533AC">
            <w:pPr>
              <w:rPr>
                <w:sz w:val="20"/>
                <w:szCs w:val="20"/>
              </w:rPr>
            </w:pPr>
          </w:p>
        </w:tc>
        <w:tc>
          <w:tcPr>
            <w:tcW w:w="1276" w:type="dxa"/>
            <w:tcBorders>
              <w:top w:val="nil"/>
              <w:left w:val="nil"/>
              <w:bottom w:val="nil"/>
              <w:right w:val="nil"/>
            </w:tcBorders>
            <w:shd w:val="clear" w:color="auto" w:fill="auto"/>
            <w:noWrap/>
            <w:vAlign w:val="bottom"/>
            <w:hideMark/>
          </w:tcPr>
          <w:p w:rsidR="00F533AC" w:rsidRPr="00354B3D" w:rsidRDefault="00750627" w:rsidP="00F533AC">
            <w:pPr>
              <w:rPr>
                <w:color w:val="000000"/>
              </w:rPr>
            </w:pPr>
            <w:r w:rsidRPr="00354B3D">
              <w:rPr>
                <w:color w:val="000000"/>
                <w:lang w:eastAsia="en-US"/>
              </w:rPr>
              <w:t>£m</w:t>
            </w:r>
          </w:p>
        </w:tc>
        <w:tc>
          <w:tcPr>
            <w:tcW w:w="1701" w:type="dxa"/>
            <w:tcBorders>
              <w:top w:val="nil"/>
              <w:left w:val="nil"/>
              <w:bottom w:val="nil"/>
              <w:right w:val="nil"/>
            </w:tcBorders>
            <w:shd w:val="clear" w:color="auto" w:fill="auto"/>
            <w:vAlign w:val="bottom"/>
            <w:hideMark/>
          </w:tcPr>
          <w:p w:rsidR="00F533AC" w:rsidRPr="00354B3D" w:rsidRDefault="00750627" w:rsidP="00F533AC">
            <w:pPr>
              <w:jc w:val="center"/>
              <w:rPr>
                <w:color w:val="000000"/>
              </w:rPr>
            </w:pPr>
            <w:r w:rsidRPr="00354B3D">
              <w:rPr>
                <w:color w:val="000000"/>
                <w:lang w:eastAsia="en-US"/>
              </w:rPr>
              <w:t>Interest Rate</w:t>
            </w:r>
          </w:p>
        </w:tc>
      </w:tr>
      <w:tr w:rsidR="00CB5B91" w:rsidTr="00F533AC">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lang w:eastAsia="en-US"/>
              </w:rPr>
              <w:t>Call accounts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Pr>
                <w:color w:val="000000"/>
                <w:lang w:eastAsia="en-US"/>
              </w:rPr>
              <w:t>25.030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lang w:eastAsia="en-US"/>
              </w:rPr>
              <w:t>0.15%</w:t>
            </w:r>
          </w:p>
        </w:tc>
      </w:tr>
      <w:tr w:rsidR="00CB5B91" w:rsidTr="00F533AC">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lang w:eastAsia="en-US"/>
              </w:rPr>
              <w:t xml:space="preserve">Local </w:t>
            </w:r>
            <w:r>
              <w:rPr>
                <w:color w:val="000000"/>
                <w:lang w:eastAsia="en-US"/>
              </w:rPr>
              <w:t>a</w:t>
            </w:r>
            <w:r w:rsidRPr="00354B3D">
              <w:rPr>
                <w:color w:val="000000"/>
                <w:lang w:eastAsia="en-US"/>
              </w:rPr>
              <w:t xml:space="preserve">uthority </w:t>
            </w:r>
            <w:r>
              <w:rPr>
                <w:color w:val="000000"/>
                <w:lang w:eastAsia="en-US"/>
              </w:rPr>
              <w:t>d</w:t>
            </w:r>
            <w:r w:rsidRPr="00354B3D">
              <w:rPr>
                <w:color w:val="000000"/>
                <w:lang w:eastAsia="en-US"/>
              </w:rPr>
              <w:t>eposits</w:t>
            </w:r>
          </w:p>
        </w:tc>
        <w:tc>
          <w:tcPr>
            <w:tcW w:w="1276"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82.8</w:t>
            </w:r>
            <w:r>
              <w:rPr>
                <w:color w:val="000000"/>
              </w:rPr>
              <w:t>00</w:t>
            </w:r>
          </w:p>
        </w:tc>
        <w:tc>
          <w:tcPr>
            <w:tcW w:w="1701"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 </w:t>
            </w:r>
            <w:r>
              <w:rPr>
                <w:color w:val="000000"/>
              </w:rPr>
              <w:t>1.23%</w:t>
            </w:r>
          </w:p>
        </w:tc>
      </w:tr>
      <w:tr w:rsidR="00CB5B91" w:rsidTr="00F533AC">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F533AC" w:rsidRPr="000C2657" w:rsidRDefault="00750627" w:rsidP="00F533AC">
            <w:pPr>
              <w:rPr>
                <w:color w:val="000000"/>
                <w:sz w:val="22"/>
                <w:szCs w:val="22"/>
              </w:rPr>
            </w:pPr>
            <w:r w:rsidRPr="000C2657">
              <w:rPr>
                <w:color w:val="000000"/>
                <w:sz w:val="22"/>
                <w:szCs w:val="22"/>
                <w:lang w:eastAsia="en-US"/>
              </w:rPr>
              <w:t xml:space="preserve">Government, local government and supra-national bonds </w:t>
            </w:r>
          </w:p>
        </w:tc>
        <w:tc>
          <w:tcPr>
            <w:tcW w:w="1276"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Pr>
                <w:color w:val="000000"/>
              </w:rPr>
              <w:t>170.140</w:t>
            </w:r>
          </w:p>
        </w:tc>
        <w:tc>
          <w:tcPr>
            <w:tcW w:w="1701"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Pr>
                <w:color w:val="000000"/>
              </w:rPr>
              <w:t>1.41%</w:t>
            </w:r>
          </w:p>
        </w:tc>
      </w:tr>
      <w:tr w:rsidR="00CB5B91" w:rsidTr="00F533AC">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tcPr>
          <w:p w:rsidR="00F533AC" w:rsidRPr="00354B3D" w:rsidRDefault="00750627" w:rsidP="00F533AC">
            <w:pPr>
              <w:rPr>
                <w:color w:val="000000"/>
                <w:lang w:eastAsia="en-US"/>
              </w:rPr>
            </w:pPr>
            <w:r>
              <w:rPr>
                <w:color w:val="000000"/>
                <w:lang w:eastAsia="en-US"/>
              </w:rPr>
              <w:t xml:space="preserve">Corporate </w:t>
            </w:r>
            <w:r w:rsidRPr="00354B3D">
              <w:rPr>
                <w:color w:val="000000"/>
                <w:lang w:eastAsia="en-US"/>
              </w:rPr>
              <w:t>bonds</w:t>
            </w:r>
          </w:p>
        </w:tc>
        <w:tc>
          <w:tcPr>
            <w:tcW w:w="1276" w:type="dxa"/>
            <w:tcBorders>
              <w:top w:val="nil"/>
              <w:left w:val="nil"/>
              <w:bottom w:val="single" w:sz="4" w:space="0" w:color="auto"/>
              <w:right w:val="single" w:sz="4" w:space="0" w:color="auto"/>
            </w:tcBorders>
            <w:shd w:val="clear" w:color="auto" w:fill="auto"/>
            <w:noWrap/>
            <w:vAlign w:val="bottom"/>
          </w:tcPr>
          <w:p w:rsidR="00F533AC" w:rsidRPr="00354B3D" w:rsidRDefault="00750627" w:rsidP="00F533AC">
            <w:pPr>
              <w:jc w:val="right"/>
              <w:rPr>
                <w:color w:val="000000"/>
              </w:rPr>
            </w:pPr>
            <w:r>
              <w:rPr>
                <w:color w:val="000000"/>
              </w:rPr>
              <w:t>194.130</w:t>
            </w:r>
          </w:p>
        </w:tc>
        <w:tc>
          <w:tcPr>
            <w:tcW w:w="1701" w:type="dxa"/>
            <w:tcBorders>
              <w:top w:val="nil"/>
              <w:left w:val="nil"/>
              <w:bottom w:val="single" w:sz="4" w:space="0" w:color="auto"/>
              <w:right w:val="single" w:sz="4" w:space="0" w:color="auto"/>
            </w:tcBorders>
            <w:shd w:val="clear" w:color="auto" w:fill="auto"/>
            <w:noWrap/>
            <w:vAlign w:val="bottom"/>
          </w:tcPr>
          <w:p w:rsidR="00F533AC" w:rsidRPr="00354B3D" w:rsidRDefault="00750627" w:rsidP="00F533AC">
            <w:pPr>
              <w:jc w:val="right"/>
              <w:rPr>
                <w:color w:val="000000"/>
              </w:rPr>
            </w:pPr>
            <w:r>
              <w:rPr>
                <w:color w:val="000000"/>
              </w:rPr>
              <w:t>0.80%</w:t>
            </w:r>
          </w:p>
        </w:tc>
      </w:tr>
      <w:tr w:rsidR="00CB5B91" w:rsidTr="00F533AC">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rPr>
                <w:color w:val="000000"/>
              </w:rPr>
            </w:pPr>
            <w:r w:rsidRPr="00354B3D">
              <w:rPr>
                <w:color w:val="000000"/>
                <w:lang w:eastAsia="en-US"/>
              </w:rPr>
              <w:t>Total Investments</w:t>
            </w:r>
          </w:p>
        </w:tc>
        <w:tc>
          <w:tcPr>
            <w:tcW w:w="127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jc w:val="right"/>
              <w:rPr>
                <w:color w:val="000000"/>
              </w:rPr>
            </w:pPr>
            <w:r>
              <w:rPr>
                <w:color w:val="000000"/>
                <w:lang w:eastAsia="en-US"/>
              </w:rPr>
              <w:t>472.100</w:t>
            </w:r>
          </w:p>
        </w:tc>
        <w:tc>
          <w:tcPr>
            <w:tcW w:w="170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rPr>
                <w:color w:val="000000"/>
              </w:rPr>
            </w:pPr>
            <w:r w:rsidRPr="00354B3D">
              <w:rPr>
                <w:color w:val="000000"/>
                <w:lang w:eastAsia="en-US"/>
              </w:rPr>
              <w:t> </w:t>
            </w:r>
          </w:p>
        </w:tc>
      </w:tr>
      <w:tr w:rsidR="00CB5B91" w:rsidTr="00F533AC">
        <w:trPr>
          <w:trHeight w:val="300"/>
        </w:trPr>
        <w:tc>
          <w:tcPr>
            <w:tcW w:w="5954" w:type="dxa"/>
            <w:tcBorders>
              <w:top w:val="nil"/>
              <w:left w:val="nil"/>
              <w:bottom w:val="nil"/>
              <w:right w:val="nil"/>
            </w:tcBorders>
            <w:shd w:val="clear" w:color="auto" w:fill="auto"/>
            <w:noWrap/>
            <w:vAlign w:val="bottom"/>
            <w:hideMark/>
          </w:tcPr>
          <w:p w:rsidR="00F533AC" w:rsidRPr="00354B3D" w:rsidRDefault="00057DFB" w:rsidP="00F533AC">
            <w:pPr>
              <w:rPr>
                <w:color w:val="000000"/>
              </w:rPr>
            </w:pPr>
          </w:p>
        </w:tc>
        <w:tc>
          <w:tcPr>
            <w:tcW w:w="1276" w:type="dxa"/>
            <w:tcBorders>
              <w:top w:val="nil"/>
              <w:left w:val="nil"/>
              <w:bottom w:val="nil"/>
              <w:right w:val="nil"/>
            </w:tcBorders>
            <w:shd w:val="clear" w:color="auto" w:fill="auto"/>
            <w:noWrap/>
            <w:vAlign w:val="bottom"/>
            <w:hideMark/>
          </w:tcPr>
          <w:p w:rsidR="00F533AC" w:rsidRPr="00354B3D" w:rsidRDefault="00057DFB" w:rsidP="00F533AC"/>
        </w:tc>
        <w:tc>
          <w:tcPr>
            <w:tcW w:w="1701" w:type="dxa"/>
            <w:tcBorders>
              <w:top w:val="nil"/>
              <w:left w:val="nil"/>
              <w:bottom w:val="nil"/>
              <w:right w:val="nil"/>
            </w:tcBorders>
            <w:shd w:val="clear" w:color="auto" w:fill="auto"/>
            <w:noWrap/>
            <w:vAlign w:val="bottom"/>
            <w:hideMark/>
          </w:tcPr>
          <w:p w:rsidR="00F533AC" w:rsidRPr="00354B3D" w:rsidRDefault="00057DFB" w:rsidP="00F533AC"/>
        </w:tc>
      </w:tr>
      <w:tr w:rsidR="00CB5B91" w:rsidTr="00F533AC">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lang w:eastAsia="en-US"/>
              </w:rPr>
              <w:t>Short</w:t>
            </w:r>
            <w:r>
              <w:rPr>
                <w:color w:val="000000"/>
                <w:lang w:eastAsia="en-US"/>
              </w:rPr>
              <w:t xml:space="preserve"> </w:t>
            </w:r>
            <w:r w:rsidRPr="00354B3D">
              <w:rPr>
                <w:color w:val="000000"/>
                <w:lang w:eastAsia="en-US"/>
              </w:rPr>
              <w:t>term loans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lang w:eastAsia="en-US"/>
              </w:rPr>
              <w:t>462</w:t>
            </w:r>
            <w:r>
              <w:rPr>
                <w:color w:val="000000"/>
                <w:lang w:eastAsia="en-US"/>
              </w:rPr>
              <w:t>.000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lang w:eastAsia="en-US"/>
              </w:rPr>
              <w:t>0.68%</w:t>
            </w:r>
          </w:p>
        </w:tc>
      </w:tr>
      <w:tr w:rsidR="00CB5B91" w:rsidTr="00F533AC">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lang w:eastAsia="en-US"/>
              </w:rPr>
              <w:t xml:space="preserve">Shared </w:t>
            </w:r>
            <w:r>
              <w:rPr>
                <w:color w:val="000000"/>
                <w:lang w:eastAsia="en-US"/>
              </w:rPr>
              <w:t>i</w:t>
            </w:r>
            <w:r w:rsidRPr="00354B3D">
              <w:rPr>
                <w:color w:val="000000"/>
                <w:lang w:eastAsia="en-US"/>
              </w:rPr>
              <w:t xml:space="preserve">nvestment </w:t>
            </w:r>
            <w:r>
              <w:rPr>
                <w:color w:val="000000"/>
                <w:lang w:eastAsia="en-US"/>
              </w:rPr>
              <w:t>s</w:t>
            </w:r>
            <w:r w:rsidRPr="00354B3D">
              <w:rPr>
                <w:color w:val="000000"/>
                <w:lang w:eastAsia="en-US"/>
              </w:rPr>
              <w:t>cheme</w:t>
            </w:r>
          </w:p>
        </w:tc>
        <w:tc>
          <w:tcPr>
            <w:tcW w:w="1276"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lang w:eastAsia="en-US"/>
              </w:rPr>
              <w:t>79.13</w:t>
            </w:r>
            <w:r>
              <w:rPr>
                <w:color w:val="000000"/>
                <w:lang w:eastAsia="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lang w:eastAsia="en-US"/>
              </w:rPr>
              <w:t>0.25%</w:t>
            </w:r>
          </w:p>
        </w:tc>
      </w:tr>
      <w:tr w:rsidR="00CB5B91" w:rsidTr="00F533AC">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lang w:eastAsia="en-US"/>
              </w:rPr>
              <w:t>Long</w:t>
            </w:r>
            <w:r>
              <w:rPr>
                <w:color w:val="000000"/>
                <w:lang w:eastAsia="en-US"/>
              </w:rPr>
              <w:t xml:space="preserve"> </w:t>
            </w:r>
            <w:r w:rsidRPr="00354B3D">
              <w:rPr>
                <w:color w:val="000000"/>
                <w:lang w:eastAsia="en-US"/>
              </w:rPr>
              <w:t xml:space="preserve">term loans </w:t>
            </w:r>
            <w:r>
              <w:rPr>
                <w:color w:val="000000"/>
                <w:lang w:eastAsia="en-US"/>
              </w:rPr>
              <w:t>- l</w:t>
            </w:r>
            <w:r w:rsidRPr="00354B3D">
              <w:rPr>
                <w:color w:val="000000"/>
                <w:lang w:eastAsia="en-US"/>
              </w:rPr>
              <w:t xml:space="preserve">ocal </w:t>
            </w:r>
            <w:r>
              <w:rPr>
                <w:color w:val="000000"/>
                <w:lang w:eastAsia="en-US"/>
              </w:rPr>
              <w:t>a</w:t>
            </w:r>
            <w:r w:rsidRPr="00354B3D">
              <w:rPr>
                <w:color w:val="000000"/>
                <w:lang w:eastAsia="en-US"/>
              </w:rPr>
              <w:t>uthorities</w:t>
            </w:r>
          </w:p>
        </w:tc>
        <w:tc>
          <w:tcPr>
            <w:tcW w:w="1276"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lang w:eastAsia="en-US"/>
              </w:rPr>
              <w:t>97.5</w:t>
            </w:r>
            <w:r>
              <w:rPr>
                <w:color w:val="000000"/>
                <w:lang w:eastAsia="en-US"/>
              </w:rPr>
              <w:t>00</w:t>
            </w:r>
          </w:p>
        </w:tc>
        <w:tc>
          <w:tcPr>
            <w:tcW w:w="1701"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lang w:eastAsia="en-US"/>
              </w:rPr>
              <w:t>1.61%</w:t>
            </w:r>
          </w:p>
        </w:tc>
      </w:tr>
      <w:tr w:rsidR="00CB5B91" w:rsidTr="00F533AC">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tcPr>
          <w:p w:rsidR="00F533AC" w:rsidRPr="008A57DC" w:rsidRDefault="00750627">
            <w:pPr>
              <w:rPr>
                <w:color w:val="000000"/>
                <w:lang w:eastAsia="en-US"/>
              </w:rPr>
            </w:pPr>
            <w:r>
              <w:rPr>
                <w:color w:val="000000"/>
                <w:lang w:eastAsia="en-US"/>
              </w:rPr>
              <w:t xml:space="preserve">Long term loans - PWLB </w:t>
            </w:r>
          </w:p>
        </w:tc>
        <w:tc>
          <w:tcPr>
            <w:tcW w:w="1276" w:type="dxa"/>
            <w:tcBorders>
              <w:top w:val="nil"/>
              <w:left w:val="nil"/>
              <w:bottom w:val="single" w:sz="4" w:space="0" w:color="auto"/>
              <w:right w:val="single" w:sz="4" w:space="0" w:color="auto"/>
            </w:tcBorders>
            <w:shd w:val="clear" w:color="auto" w:fill="auto"/>
            <w:noWrap/>
            <w:vAlign w:val="bottom"/>
          </w:tcPr>
          <w:p w:rsidR="00F533AC" w:rsidRPr="008A57DC" w:rsidRDefault="00750627" w:rsidP="00F533AC">
            <w:pPr>
              <w:jc w:val="right"/>
              <w:rPr>
                <w:color w:val="000000"/>
                <w:lang w:eastAsia="en-US"/>
              </w:rPr>
            </w:pPr>
            <w:r>
              <w:rPr>
                <w:color w:val="000000"/>
                <w:lang w:eastAsia="en-US"/>
              </w:rPr>
              <w:t>338.850</w:t>
            </w:r>
          </w:p>
        </w:tc>
        <w:tc>
          <w:tcPr>
            <w:tcW w:w="1701" w:type="dxa"/>
            <w:tcBorders>
              <w:top w:val="nil"/>
              <w:left w:val="nil"/>
              <w:bottom w:val="single" w:sz="4" w:space="0" w:color="auto"/>
              <w:right w:val="single" w:sz="4" w:space="0" w:color="auto"/>
            </w:tcBorders>
            <w:shd w:val="clear" w:color="auto" w:fill="auto"/>
            <w:noWrap/>
            <w:vAlign w:val="bottom"/>
          </w:tcPr>
          <w:p w:rsidR="00F533AC" w:rsidRPr="008A57DC" w:rsidRDefault="00750627" w:rsidP="00F533AC">
            <w:pPr>
              <w:jc w:val="right"/>
              <w:rPr>
                <w:color w:val="000000"/>
                <w:lang w:eastAsia="en-US"/>
              </w:rPr>
            </w:pPr>
            <w:r>
              <w:rPr>
                <w:color w:val="000000"/>
                <w:lang w:eastAsia="en-US"/>
              </w:rPr>
              <w:t>3.07%</w:t>
            </w:r>
          </w:p>
        </w:tc>
      </w:tr>
      <w:tr w:rsidR="00CB5B91" w:rsidTr="00F533AC">
        <w:trPr>
          <w:trHeight w:val="300"/>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pPr>
              <w:rPr>
                <w:color w:val="000000"/>
              </w:rPr>
            </w:pPr>
            <w:r>
              <w:rPr>
                <w:color w:val="000000"/>
                <w:lang w:eastAsia="en-US"/>
              </w:rPr>
              <w:t>Long term loans – LOBO</w:t>
            </w:r>
          </w:p>
        </w:tc>
        <w:tc>
          <w:tcPr>
            <w:tcW w:w="1276"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Pr>
                <w:color w:val="000000"/>
                <w:lang w:eastAsia="en-US"/>
              </w:rPr>
              <w:t>50.000</w:t>
            </w:r>
          </w:p>
        </w:tc>
        <w:tc>
          <w:tcPr>
            <w:tcW w:w="1701"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lang w:eastAsia="en-US"/>
              </w:rPr>
              <w:t>6.16%</w:t>
            </w:r>
          </w:p>
        </w:tc>
      </w:tr>
      <w:tr w:rsidR="00CB5B91" w:rsidTr="00F533AC">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rPr>
                <w:color w:val="000000"/>
              </w:rPr>
            </w:pPr>
            <w:r w:rsidRPr="00354B3D">
              <w:rPr>
                <w:color w:val="000000"/>
                <w:lang w:eastAsia="en-US"/>
              </w:rPr>
              <w:t>Total Borrowing</w:t>
            </w:r>
          </w:p>
        </w:tc>
        <w:tc>
          <w:tcPr>
            <w:tcW w:w="127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jc w:val="right"/>
              <w:rPr>
                <w:color w:val="000000"/>
              </w:rPr>
            </w:pPr>
            <w:r w:rsidRPr="00354B3D">
              <w:rPr>
                <w:color w:val="000000"/>
                <w:lang w:eastAsia="en-US"/>
              </w:rPr>
              <w:t>1,02</w:t>
            </w:r>
            <w:r>
              <w:rPr>
                <w:color w:val="000000"/>
                <w:lang w:eastAsia="en-US"/>
              </w:rPr>
              <w:t>7</w:t>
            </w:r>
            <w:r w:rsidRPr="00354B3D">
              <w:rPr>
                <w:color w:val="000000"/>
                <w:lang w:eastAsia="en-US"/>
              </w:rPr>
              <w:t>.</w:t>
            </w:r>
            <w:r>
              <w:rPr>
                <w:color w:val="000000"/>
                <w:lang w:eastAsia="en-US"/>
              </w:rPr>
              <w:t>480</w:t>
            </w:r>
          </w:p>
        </w:tc>
        <w:tc>
          <w:tcPr>
            <w:tcW w:w="170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rPr>
                <w:color w:val="000000"/>
              </w:rPr>
            </w:pPr>
            <w:r w:rsidRPr="00354B3D">
              <w:rPr>
                <w:color w:val="000000"/>
                <w:lang w:eastAsia="en-US"/>
              </w:rPr>
              <w:t> </w:t>
            </w:r>
          </w:p>
        </w:tc>
      </w:tr>
      <w:tr w:rsidR="00CB5B91" w:rsidTr="00F533AC">
        <w:trPr>
          <w:trHeight w:val="300"/>
        </w:trPr>
        <w:tc>
          <w:tcPr>
            <w:tcW w:w="5954" w:type="dxa"/>
            <w:tcBorders>
              <w:top w:val="nil"/>
              <w:left w:val="nil"/>
              <w:bottom w:val="nil"/>
              <w:right w:val="nil"/>
            </w:tcBorders>
            <w:shd w:val="clear" w:color="auto" w:fill="auto"/>
            <w:noWrap/>
            <w:vAlign w:val="bottom"/>
            <w:hideMark/>
          </w:tcPr>
          <w:p w:rsidR="00F533AC" w:rsidRPr="00354B3D" w:rsidRDefault="00057DFB" w:rsidP="00F533AC">
            <w:pPr>
              <w:rPr>
                <w:color w:val="000000"/>
              </w:rPr>
            </w:pPr>
          </w:p>
        </w:tc>
        <w:tc>
          <w:tcPr>
            <w:tcW w:w="1276" w:type="dxa"/>
            <w:tcBorders>
              <w:top w:val="nil"/>
              <w:left w:val="nil"/>
              <w:bottom w:val="nil"/>
              <w:right w:val="nil"/>
            </w:tcBorders>
            <w:shd w:val="clear" w:color="auto" w:fill="auto"/>
            <w:noWrap/>
            <w:vAlign w:val="bottom"/>
            <w:hideMark/>
          </w:tcPr>
          <w:p w:rsidR="00F533AC" w:rsidRPr="00354B3D" w:rsidRDefault="00057DFB" w:rsidP="00F533AC"/>
        </w:tc>
        <w:tc>
          <w:tcPr>
            <w:tcW w:w="1701" w:type="dxa"/>
            <w:tcBorders>
              <w:top w:val="nil"/>
              <w:left w:val="nil"/>
              <w:bottom w:val="nil"/>
              <w:right w:val="nil"/>
            </w:tcBorders>
            <w:shd w:val="clear" w:color="auto" w:fill="auto"/>
            <w:noWrap/>
            <w:vAlign w:val="bottom"/>
            <w:hideMark/>
          </w:tcPr>
          <w:p w:rsidR="00F533AC" w:rsidRPr="00354B3D" w:rsidRDefault="00057DFB" w:rsidP="00F533AC"/>
        </w:tc>
      </w:tr>
      <w:tr w:rsidR="00CB5B91" w:rsidTr="00F533AC">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rPr>
                <w:color w:val="000000"/>
              </w:rPr>
            </w:pPr>
            <w:r w:rsidRPr="00354B3D">
              <w:rPr>
                <w:color w:val="000000"/>
                <w:lang w:eastAsia="en-US"/>
              </w:rPr>
              <w:t xml:space="preserve">Net Borrowing </w:t>
            </w:r>
          </w:p>
        </w:tc>
        <w:tc>
          <w:tcPr>
            <w:tcW w:w="127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jc w:val="right"/>
              <w:rPr>
                <w:color w:val="000000"/>
              </w:rPr>
            </w:pPr>
            <w:r>
              <w:rPr>
                <w:color w:val="000000"/>
                <w:lang w:eastAsia="en-US"/>
              </w:rPr>
              <w:t>555.380</w:t>
            </w:r>
          </w:p>
        </w:tc>
        <w:tc>
          <w:tcPr>
            <w:tcW w:w="170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rPr>
                <w:color w:val="000000"/>
              </w:rPr>
            </w:pPr>
            <w:r w:rsidRPr="00354B3D">
              <w:rPr>
                <w:color w:val="000000"/>
                <w:lang w:eastAsia="en-US"/>
              </w:rPr>
              <w:t> </w:t>
            </w:r>
          </w:p>
        </w:tc>
      </w:tr>
    </w:tbl>
    <w:p w:rsidR="00F533AC" w:rsidRDefault="00057DFB" w:rsidP="00F533AC">
      <w:pPr>
        <w:jc w:val="both"/>
      </w:pPr>
    </w:p>
    <w:p w:rsidR="00F533AC" w:rsidRPr="00C4784E" w:rsidRDefault="00750627" w:rsidP="00F533AC">
      <w:pPr>
        <w:pStyle w:val="ListParagraph"/>
        <w:ind w:left="0"/>
        <w:jc w:val="both"/>
      </w:pPr>
      <w:r>
        <w:t xml:space="preserve">The </w:t>
      </w:r>
      <w:r w:rsidRPr="00C4784E">
        <w:t>average rate for borrowing</w:t>
      </w:r>
      <w:r>
        <w:t xml:space="preserve"> in 2018/19 included in the current Medium Term Financial Strategy (MTFS) of the council</w:t>
      </w:r>
      <w:r w:rsidRPr="00C4784E">
        <w:t xml:space="preserve"> is </w:t>
      </w:r>
      <w:r>
        <w:t>1.84</w:t>
      </w:r>
      <w:r w:rsidRPr="0003641D">
        <w:t>%</w:t>
      </w:r>
      <w:r w:rsidRPr="00C4784E">
        <w:t xml:space="preserve"> and </w:t>
      </w:r>
      <w:r>
        <w:t xml:space="preserve">the </w:t>
      </w:r>
      <w:r w:rsidRPr="00C4784E">
        <w:t>average rate</w:t>
      </w:r>
      <w:r>
        <w:t xml:space="preserve"> of return on</w:t>
      </w:r>
      <w:r w:rsidRPr="00C4784E">
        <w:t xml:space="preserve"> investments is </w:t>
      </w:r>
      <w:r>
        <w:t>1.15</w:t>
      </w:r>
      <w:r w:rsidRPr="0003641D">
        <w:t>%</w:t>
      </w:r>
      <w:r>
        <w:t>.</w:t>
      </w:r>
    </w:p>
    <w:p w:rsidR="00F533AC" w:rsidRDefault="00057DFB" w:rsidP="00F533AC">
      <w:pPr>
        <w:jc w:val="both"/>
        <w:rPr>
          <w:bCs/>
          <w:i/>
        </w:rPr>
      </w:pPr>
    </w:p>
    <w:p w:rsidR="00F533AC" w:rsidRPr="00354B3D" w:rsidRDefault="00750627" w:rsidP="00F533AC">
      <w:pPr>
        <w:jc w:val="both"/>
        <w:rPr>
          <w:b/>
          <w:bCs/>
          <w:i/>
        </w:rPr>
      </w:pPr>
      <w:r w:rsidRPr="00354B3D">
        <w:rPr>
          <w:b/>
          <w:bCs/>
          <w:i/>
        </w:rPr>
        <w:t>Forecast Position</w:t>
      </w:r>
    </w:p>
    <w:p w:rsidR="00F533AC" w:rsidRDefault="00057DFB" w:rsidP="00F533AC">
      <w:pPr>
        <w:jc w:val="both"/>
        <w:rPr>
          <w:bCs/>
        </w:rPr>
      </w:pPr>
    </w:p>
    <w:p w:rsidR="00F533AC" w:rsidRDefault="00750627" w:rsidP="00F533AC">
      <w:pPr>
        <w:jc w:val="both"/>
        <w:rPr>
          <w:bCs/>
        </w:rPr>
      </w:pPr>
      <w:r>
        <w:rPr>
          <w:bCs/>
        </w:rPr>
        <w:t xml:space="preserve">In the medium term the council borrows for capital purposes only. </w:t>
      </w:r>
      <w:r w:rsidRPr="00260A70">
        <w:rPr>
          <w:bCs/>
        </w:rPr>
        <w:t>The underlying need to borrow for capital purposes is measured by the Capital Financing Requirement (CFR), while usable reserves and working capital are the underlying resources available for investment.</w:t>
      </w:r>
      <w:r>
        <w:rPr>
          <w:bCs/>
        </w:rPr>
        <w:t xml:space="preserve"> The table below compares the estimated CFR to the debt which exists at 30 November, adjusted for transferred debt. This gives an indication of the borrowing required. It also shows the estimated resources available for investment. An option is to use these balances to finance the expenditure rather than investing, often referred to as internal borrowing, so the table gives an indication of the minimum borrowing requirement through this method.</w:t>
      </w:r>
    </w:p>
    <w:p w:rsidR="00F533AC" w:rsidRDefault="00057DFB" w:rsidP="00F533AC">
      <w:pPr>
        <w:jc w:val="both"/>
        <w:rPr>
          <w:bCs/>
        </w:rPr>
      </w:pPr>
    </w:p>
    <w:tbl>
      <w:tblPr>
        <w:tblStyle w:val="TableGrid"/>
        <w:tblW w:w="9209" w:type="dxa"/>
        <w:tblLayout w:type="fixed"/>
        <w:tblLook w:val="04A0" w:firstRow="1" w:lastRow="0" w:firstColumn="1" w:lastColumn="0" w:noHBand="0" w:noVBand="1"/>
      </w:tblPr>
      <w:tblGrid>
        <w:gridCol w:w="3539"/>
        <w:gridCol w:w="1418"/>
        <w:gridCol w:w="1417"/>
        <w:gridCol w:w="1418"/>
        <w:gridCol w:w="1417"/>
      </w:tblGrid>
      <w:tr w:rsidR="00CB5B91" w:rsidTr="00F533AC">
        <w:tc>
          <w:tcPr>
            <w:tcW w:w="3539" w:type="dxa"/>
          </w:tcPr>
          <w:p w:rsidR="00F533AC" w:rsidRDefault="00057DFB" w:rsidP="00F533AC">
            <w:pPr>
              <w:jc w:val="both"/>
              <w:rPr>
                <w:bCs/>
              </w:rPr>
            </w:pPr>
          </w:p>
        </w:tc>
        <w:tc>
          <w:tcPr>
            <w:tcW w:w="1418" w:type="dxa"/>
          </w:tcPr>
          <w:p w:rsidR="00F533AC" w:rsidRDefault="00750627" w:rsidP="00F533AC">
            <w:pPr>
              <w:jc w:val="right"/>
              <w:rPr>
                <w:bCs/>
              </w:rPr>
            </w:pPr>
            <w:r>
              <w:rPr>
                <w:bCs/>
              </w:rPr>
              <w:t>31/3/2018</w:t>
            </w:r>
          </w:p>
        </w:tc>
        <w:tc>
          <w:tcPr>
            <w:tcW w:w="1417" w:type="dxa"/>
          </w:tcPr>
          <w:p w:rsidR="00F533AC" w:rsidRDefault="00750627" w:rsidP="00F533AC">
            <w:pPr>
              <w:jc w:val="right"/>
              <w:rPr>
                <w:bCs/>
              </w:rPr>
            </w:pPr>
            <w:r>
              <w:rPr>
                <w:bCs/>
              </w:rPr>
              <w:t>31/3/2019</w:t>
            </w:r>
          </w:p>
        </w:tc>
        <w:tc>
          <w:tcPr>
            <w:tcW w:w="1418" w:type="dxa"/>
          </w:tcPr>
          <w:p w:rsidR="00F533AC" w:rsidRDefault="00750627" w:rsidP="00F533AC">
            <w:pPr>
              <w:jc w:val="right"/>
              <w:rPr>
                <w:bCs/>
              </w:rPr>
            </w:pPr>
            <w:r>
              <w:rPr>
                <w:bCs/>
              </w:rPr>
              <w:t>31/3/2020</w:t>
            </w:r>
          </w:p>
        </w:tc>
        <w:tc>
          <w:tcPr>
            <w:tcW w:w="1417" w:type="dxa"/>
          </w:tcPr>
          <w:p w:rsidR="00F533AC" w:rsidRDefault="00750627" w:rsidP="00F533AC">
            <w:pPr>
              <w:jc w:val="right"/>
              <w:rPr>
                <w:bCs/>
              </w:rPr>
            </w:pPr>
            <w:r>
              <w:rPr>
                <w:bCs/>
              </w:rPr>
              <w:t>31/3/2021</w:t>
            </w:r>
          </w:p>
        </w:tc>
      </w:tr>
      <w:tr w:rsidR="00CB5B91" w:rsidTr="00F533AC">
        <w:tc>
          <w:tcPr>
            <w:tcW w:w="3539" w:type="dxa"/>
          </w:tcPr>
          <w:p w:rsidR="00F533AC" w:rsidRDefault="00057DFB" w:rsidP="00F533AC">
            <w:pPr>
              <w:jc w:val="both"/>
              <w:rPr>
                <w:bCs/>
              </w:rPr>
            </w:pPr>
          </w:p>
        </w:tc>
        <w:tc>
          <w:tcPr>
            <w:tcW w:w="1418" w:type="dxa"/>
          </w:tcPr>
          <w:p w:rsidR="00F533AC" w:rsidRDefault="00750627" w:rsidP="00F533AC">
            <w:pPr>
              <w:jc w:val="both"/>
              <w:rPr>
                <w:bCs/>
              </w:rPr>
            </w:pPr>
            <w:r>
              <w:rPr>
                <w:bCs/>
              </w:rPr>
              <w:t>£m</w:t>
            </w:r>
          </w:p>
        </w:tc>
        <w:tc>
          <w:tcPr>
            <w:tcW w:w="1417" w:type="dxa"/>
          </w:tcPr>
          <w:p w:rsidR="00F533AC" w:rsidRDefault="00750627" w:rsidP="00F533AC">
            <w:pPr>
              <w:jc w:val="both"/>
              <w:rPr>
                <w:bCs/>
              </w:rPr>
            </w:pPr>
            <w:r>
              <w:rPr>
                <w:bCs/>
              </w:rPr>
              <w:t>£m</w:t>
            </w:r>
          </w:p>
        </w:tc>
        <w:tc>
          <w:tcPr>
            <w:tcW w:w="1418" w:type="dxa"/>
          </w:tcPr>
          <w:p w:rsidR="00F533AC" w:rsidRDefault="00750627" w:rsidP="00F533AC">
            <w:pPr>
              <w:jc w:val="both"/>
              <w:rPr>
                <w:bCs/>
              </w:rPr>
            </w:pPr>
            <w:r>
              <w:rPr>
                <w:bCs/>
              </w:rPr>
              <w:t>£m</w:t>
            </w:r>
          </w:p>
        </w:tc>
        <w:tc>
          <w:tcPr>
            <w:tcW w:w="1417" w:type="dxa"/>
          </w:tcPr>
          <w:p w:rsidR="00F533AC" w:rsidRDefault="00750627" w:rsidP="00F533AC">
            <w:pPr>
              <w:jc w:val="both"/>
              <w:rPr>
                <w:bCs/>
              </w:rPr>
            </w:pPr>
            <w:r>
              <w:rPr>
                <w:bCs/>
              </w:rPr>
              <w:t>£m</w:t>
            </w:r>
          </w:p>
        </w:tc>
      </w:tr>
      <w:tr w:rsidR="00CB5B91" w:rsidTr="00F533AC">
        <w:tc>
          <w:tcPr>
            <w:tcW w:w="3539" w:type="dxa"/>
          </w:tcPr>
          <w:p w:rsidR="00F533AC" w:rsidRDefault="00750627">
            <w:pPr>
              <w:rPr>
                <w:bCs/>
              </w:rPr>
            </w:pPr>
            <w:r>
              <w:rPr>
                <w:bCs/>
              </w:rPr>
              <w:t xml:space="preserve">Capital Financing Requirement </w:t>
            </w:r>
          </w:p>
        </w:tc>
        <w:tc>
          <w:tcPr>
            <w:tcW w:w="1418" w:type="dxa"/>
          </w:tcPr>
          <w:p w:rsidR="00F533AC" w:rsidRDefault="00750627">
            <w:pPr>
              <w:jc w:val="right"/>
              <w:rPr>
                <w:bCs/>
              </w:rPr>
            </w:pPr>
            <w:r>
              <w:rPr>
                <w:bCs/>
              </w:rPr>
              <w:t>1,060.298</w:t>
            </w:r>
          </w:p>
        </w:tc>
        <w:tc>
          <w:tcPr>
            <w:tcW w:w="1417" w:type="dxa"/>
          </w:tcPr>
          <w:p w:rsidR="00F533AC" w:rsidRDefault="00750627">
            <w:pPr>
              <w:jc w:val="right"/>
              <w:rPr>
                <w:bCs/>
              </w:rPr>
            </w:pPr>
            <w:r>
              <w:rPr>
                <w:bCs/>
              </w:rPr>
              <w:t>1,104.375</w:t>
            </w:r>
          </w:p>
        </w:tc>
        <w:tc>
          <w:tcPr>
            <w:tcW w:w="1418" w:type="dxa"/>
          </w:tcPr>
          <w:p w:rsidR="00F533AC" w:rsidRDefault="00750627">
            <w:pPr>
              <w:jc w:val="right"/>
              <w:rPr>
                <w:bCs/>
              </w:rPr>
            </w:pPr>
            <w:r>
              <w:rPr>
                <w:bCs/>
              </w:rPr>
              <w:t>1,111.017</w:t>
            </w:r>
          </w:p>
        </w:tc>
        <w:tc>
          <w:tcPr>
            <w:tcW w:w="1417" w:type="dxa"/>
          </w:tcPr>
          <w:p w:rsidR="00F533AC" w:rsidRDefault="00750627">
            <w:pPr>
              <w:jc w:val="right"/>
              <w:rPr>
                <w:bCs/>
              </w:rPr>
            </w:pPr>
            <w:r>
              <w:rPr>
                <w:bCs/>
              </w:rPr>
              <w:t>1,080.851</w:t>
            </w:r>
          </w:p>
        </w:tc>
      </w:tr>
      <w:tr w:rsidR="00CB5B91" w:rsidTr="00F533AC">
        <w:tc>
          <w:tcPr>
            <w:tcW w:w="3539" w:type="dxa"/>
          </w:tcPr>
          <w:p w:rsidR="00F533AC" w:rsidRPr="00315D4D" w:rsidRDefault="00750627">
            <w:pPr>
              <w:rPr>
                <w:bCs/>
                <w:i/>
              </w:rPr>
            </w:pPr>
            <w:r w:rsidRPr="00315D4D">
              <w:rPr>
                <w:bCs/>
                <w:i/>
              </w:rPr>
              <w:t xml:space="preserve">Less </w:t>
            </w:r>
            <w:r w:rsidRPr="00354B3D">
              <w:rPr>
                <w:bCs/>
              </w:rPr>
              <w:t>other long term liabilities</w:t>
            </w:r>
          </w:p>
        </w:tc>
        <w:tc>
          <w:tcPr>
            <w:tcW w:w="1418" w:type="dxa"/>
          </w:tcPr>
          <w:p w:rsidR="00F533AC" w:rsidRPr="00315D4D" w:rsidRDefault="00750627">
            <w:pPr>
              <w:jc w:val="right"/>
              <w:rPr>
                <w:bCs/>
              </w:rPr>
            </w:pPr>
            <w:r w:rsidRPr="00315D4D">
              <w:rPr>
                <w:bCs/>
              </w:rPr>
              <w:t>157.300</w:t>
            </w:r>
          </w:p>
        </w:tc>
        <w:tc>
          <w:tcPr>
            <w:tcW w:w="1417" w:type="dxa"/>
          </w:tcPr>
          <w:p w:rsidR="00F533AC" w:rsidRPr="00315D4D" w:rsidRDefault="00750627">
            <w:pPr>
              <w:jc w:val="right"/>
              <w:rPr>
                <w:bCs/>
              </w:rPr>
            </w:pPr>
            <w:r w:rsidRPr="00315D4D">
              <w:rPr>
                <w:bCs/>
              </w:rPr>
              <w:t>151.200</w:t>
            </w:r>
          </w:p>
        </w:tc>
        <w:tc>
          <w:tcPr>
            <w:tcW w:w="1418" w:type="dxa"/>
          </w:tcPr>
          <w:p w:rsidR="00F533AC" w:rsidRPr="00315D4D" w:rsidRDefault="00750627">
            <w:pPr>
              <w:jc w:val="right"/>
              <w:rPr>
                <w:bCs/>
              </w:rPr>
            </w:pPr>
            <w:r>
              <w:rPr>
                <w:bCs/>
              </w:rPr>
              <w:t>1</w:t>
            </w:r>
            <w:r w:rsidRPr="00315D4D">
              <w:rPr>
                <w:bCs/>
              </w:rPr>
              <w:t>45.100</w:t>
            </w:r>
          </w:p>
        </w:tc>
        <w:tc>
          <w:tcPr>
            <w:tcW w:w="1417" w:type="dxa"/>
          </w:tcPr>
          <w:p w:rsidR="00F533AC" w:rsidRPr="00315D4D" w:rsidRDefault="00750627">
            <w:pPr>
              <w:jc w:val="right"/>
              <w:rPr>
                <w:bCs/>
              </w:rPr>
            </w:pPr>
            <w:r w:rsidRPr="00315D4D">
              <w:rPr>
                <w:bCs/>
              </w:rPr>
              <w:t>139.000</w:t>
            </w:r>
          </w:p>
        </w:tc>
      </w:tr>
      <w:tr w:rsidR="00CB5B91" w:rsidTr="00F533AC">
        <w:tc>
          <w:tcPr>
            <w:tcW w:w="3539" w:type="dxa"/>
            <w:shd w:val="clear" w:color="auto" w:fill="DBE5F1" w:themeFill="accent1" w:themeFillTint="33"/>
          </w:tcPr>
          <w:p w:rsidR="00F533AC" w:rsidRPr="00354B3D" w:rsidRDefault="00750627">
            <w:pPr>
              <w:rPr>
                <w:bCs/>
              </w:rPr>
            </w:pPr>
            <w:r w:rsidRPr="00354B3D">
              <w:rPr>
                <w:bCs/>
              </w:rPr>
              <w:t>Borrowing CFR</w:t>
            </w:r>
          </w:p>
        </w:tc>
        <w:tc>
          <w:tcPr>
            <w:tcW w:w="1418" w:type="dxa"/>
            <w:shd w:val="clear" w:color="auto" w:fill="DBE5F1" w:themeFill="accent1" w:themeFillTint="33"/>
          </w:tcPr>
          <w:p w:rsidR="00F533AC" w:rsidRPr="00354B3D" w:rsidRDefault="00750627">
            <w:pPr>
              <w:jc w:val="right"/>
              <w:rPr>
                <w:bCs/>
              </w:rPr>
            </w:pPr>
            <w:r w:rsidRPr="00354B3D">
              <w:rPr>
                <w:bCs/>
              </w:rPr>
              <w:t>902.998</w:t>
            </w:r>
          </w:p>
        </w:tc>
        <w:tc>
          <w:tcPr>
            <w:tcW w:w="1417" w:type="dxa"/>
            <w:shd w:val="clear" w:color="auto" w:fill="DBE5F1" w:themeFill="accent1" w:themeFillTint="33"/>
          </w:tcPr>
          <w:p w:rsidR="00F533AC" w:rsidRPr="00354B3D" w:rsidRDefault="00750627">
            <w:pPr>
              <w:jc w:val="right"/>
              <w:rPr>
                <w:bCs/>
              </w:rPr>
            </w:pPr>
            <w:r w:rsidRPr="00354B3D">
              <w:rPr>
                <w:bCs/>
              </w:rPr>
              <w:t>953.175</w:t>
            </w:r>
          </w:p>
        </w:tc>
        <w:tc>
          <w:tcPr>
            <w:tcW w:w="1418" w:type="dxa"/>
            <w:shd w:val="clear" w:color="auto" w:fill="DBE5F1" w:themeFill="accent1" w:themeFillTint="33"/>
          </w:tcPr>
          <w:p w:rsidR="00F533AC" w:rsidRPr="00354B3D" w:rsidRDefault="00750627">
            <w:pPr>
              <w:jc w:val="right"/>
              <w:rPr>
                <w:bCs/>
              </w:rPr>
            </w:pPr>
            <w:r w:rsidRPr="00354B3D">
              <w:rPr>
                <w:bCs/>
              </w:rPr>
              <w:t>965.917</w:t>
            </w:r>
          </w:p>
        </w:tc>
        <w:tc>
          <w:tcPr>
            <w:tcW w:w="1417" w:type="dxa"/>
            <w:shd w:val="clear" w:color="auto" w:fill="DBE5F1" w:themeFill="accent1" w:themeFillTint="33"/>
          </w:tcPr>
          <w:p w:rsidR="00F533AC" w:rsidRPr="00354B3D" w:rsidRDefault="00750627">
            <w:pPr>
              <w:jc w:val="right"/>
              <w:rPr>
                <w:bCs/>
              </w:rPr>
            </w:pPr>
            <w:r w:rsidRPr="00354B3D">
              <w:rPr>
                <w:bCs/>
              </w:rPr>
              <w:t>941.851</w:t>
            </w:r>
          </w:p>
        </w:tc>
      </w:tr>
      <w:tr w:rsidR="00CB5B91" w:rsidTr="00F533AC">
        <w:tc>
          <w:tcPr>
            <w:tcW w:w="3539" w:type="dxa"/>
          </w:tcPr>
          <w:p w:rsidR="00F533AC" w:rsidRPr="00315D4D" w:rsidRDefault="00057DFB">
            <w:pPr>
              <w:rPr>
                <w:bCs/>
                <w:i/>
              </w:rPr>
            </w:pPr>
          </w:p>
        </w:tc>
        <w:tc>
          <w:tcPr>
            <w:tcW w:w="1418" w:type="dxa"/>
          </w:tcPr>
          <w:p w:rsidR="00F533AC" w:rsidRPr="00315D4D" w:rsidRDefault="00057DFB">
            <w:pPr>
              <w:jc w:val="right"/>
              <w:rPr>
                <w:bCs/>
              </w:rPr>
            </w:pPr>
          </w:p>
        </w:tc>
        <w:tc>
          <w:tcPr>
            <w:tcW w:w="1417" w:type="dxa"/>
          </w:tcPr>
          <w:p w:rsidR="00F533AC" w:rsidRPr="00315D4D" w:rsidRDefault="00057DFB">
            <w:pPr>
              <w:jc w:val="right"/>
              <w:rPr>
                <w:bCs/>
              </w:rPr>
            </w:pPr>
          </w:p>
        </w:tc>
        <w:tc>
          <w:tcPr>
            <w:tcW w:w="1418" w:type="dxa"/>
          </w:tcPr>
          <w:p w:rsidR="00F533AC" w:rsidRPr="00315D4D" w:rsidRDefault="00057DFB">
            <w:pPr>
              <w:jc w:val="right"/>
              <w:rPr>
                <w:bCs/>
              </w:rPr>
            </w:pPr>
          </w:p>
        </w:tc>
        <w:tc>
          <w:tcPr>
            <w:tcW w:w="1417" w:type="dxa"/>
          </w:tcPr>
          <w:p w:rsidR="00F533AC" w:rsidRPr="00315D4D" w:rsidRDefault="00057DFB">
            <w:pPr>
              <w:jc w:val="right"/>
              <w:rPr>
                <w:bCs/>
              </w:rPr>
            </w:pPr>
          </w:p>
        </w:tc>
      </w:tr>
      <w:tr w:rsidR="00CB5B91" w:rsidTr="00F533AC">
        <w:tc>
          <w:tcPr>
            <w:tcW w:w="3539" w:type="dxa"/>
          </w:tcPr>
          <w:p w:rsidR="00F533AC" w:rsidRPr="00315D4D" w:rsidRDefault="00750627">
            <w:pPr>
              <w:rPr>
                <w:bCs/>
                <w:i/>
              </w:rPr>
            </w:pPr>
            <w:r w:rsidRPr="00315D4D">
              <w:rPr>
                <w:bCs/>
                <w:i/>
              </w:rPr>
              <w:t xml:space="preserve">Less </w:t>
            </w:r>
            <w:r w:rsidRPr="00354B3D">
              <w:rPr>
                <w:bCs/>
              </w:rPr>
              <w:t>external borrowing</w:t>
            </w:r>
          </w:p>
        </w:tc>
        <w:tc>
          <w:tcPr>
            <w:tcW w:w="1418" w:type="dxa"/>
          </w:tcPr>
          <w:p w:rsidR="00F533AC" w:rsidRPr="00315D4D" w:rsidRDefault="00750627" w:rsidP="00F533AC">
            <w:pPr>
              <w:jc w:val="right"/>
              <w:rPr>
                <w:bCs/>
              </w:rPr>
            </w:pPr>
            <w:r w:rsidRPr="00315D4D">
              <w:rPr>
                <w:bCs/>
              </w:rPr>
              <w:t>787.</w:t>
            </w:r>
            <w:r>
              <w:rPr>
                <w:bCs/>
              </w:rPr>
              <w:t>936</w:t>
            </w:r>
          </w:p>
        </w:tc>
        <w:tc>
          <w:tcPr>
            <w:tcW w:w="1417" w:type="dxa"/>
          </w:tcPr>
          <w:p w:rsidR="00F533AC" w:rsidRPr="00315D4D" w:rsidRDefault="00750627" w:rsidP="00F533AC">
            <w:pPr>
              <w:jc w:val="right"/>
              <w:rPr>
                <w:bCs/>
              </w:rPr>
            </w:pPr>
            <w:r w:rsidRPr="00315D4D">
              <w:rPr>
                <w:bCs/>
              </w:rPr>
              <w:t>383.7</w:t>
            </w:r>
            <w:r>
              <w:rPr>
                <w:bCs/>
              </w:rPr>
              <w:t>7</w:t>
            </w:r>
            <w:r w:rsidRPr="00315D4D">
              <w:rPr>
                <w:bCs/>
              </w:rPr>
              <w:t>5</w:t>
            </w:r>
          </w:p>
        </w:tc>
        <w:tc>
          <w:tcPr>
            <w:tcW w:w="1418" w:type="dxa"/>
          </w:tcPr>
          <w:p w:rsidR="00F533AC" w:rsidRPr="00315D4D" w:rsidRDefault="00750627" w:rsidP="00F533AC">
            <w:pPr>
              <w:jc w:val="right"/>
              <w:rPr>
                <w:bCs/>
              </w:rPr>
            </w:pPr>
            <w:r w:rsidRPr="00315D4D">
              <w:rPr>
                <w:bCs/>
              </w:rPr>
              <w:t>343.</w:t>
            </w:r>
            <w:r>
              <w:rPr>
                <w:bCs/>
              </w:rPr>
              <w:t>06</w:t>
            </w:r>
            <w:r w:rsidRPr="00315D4D">
              <w:rPr>
                <w:bCs/>
              </w:rPr>
              <w:t>2</w:t>
            </w:r>
          </w:p>
        </w:tc>
        <w:tc>
          <w:tcPr>
            <w:tcW w:w="1417" w:type="dxa"/>
          </w:tcPr>
          <w:p w:rsidR="00F533AC" w:rsidRPr="00315D4D" w:rsidRDefault="00750627">
            <w:pPr>
              <w:jc w:val="right"/>
              <w:rPr>
                <w:bCs/>
              </w:rPr>
            </w:pPr>
            <w:r w:rsidRPr="00315D4D">
              <w:rPr>
                <w:bCs/>
              </w:rPr>
              <w:t>146.162</w:t>
            </w:r>
          </w:p>
        </w:tc>
      </w:tr>
      <w:tr w:rsidR="00CB5B91" w:rsidTr="00F533AC">
        <w:tc>
          <w:tcPr>
            <w:tcW w:w="3539" w:type="dxa"/>
            <w:shd w:val="clear" w:color="auto" w:fill="DBE5F1" w:themeFill="accent1" w:themeFillTint="33"/>
          </w:tcPr>
          <w:p w:rsidR="00F533AC" w:rsidRPr="00354B3D" w:rsidRDefault="00750627">
            <w:pPr>
              <w:rPr>
                <w:bCs/>
              </w:rPr>
            </w:pPr>
            <w:r w:rsidRPr="00354B3D">
              <w:rPr>
                <w:bCs/>
              </w:rPr>
              <w:t>Borrowing requirement</w:t>
            </w:r>
          </w:p>
        </w:tc>
        <w:tc>
          <w:tcPr>
            <w:tcW w:w="1418" w:type="dxa"/>
            <w:shd w:val="clear" w:color="auto" w:fill="DBE5F1" w:themeFill="accent1" w:themeFillTint="33"/>
          </w:tcPr>
          <w:p w:rsidR="00F533AC" w:rsidRPr="00354B3D" w:rsidRDefault="00750627" w:rsidP="00F533AC">
            <w:pPr>
              <w:jc w:val="right"/>
              <w:rPr>
                <w:bCs/>
              </w:rPr>
            </w:pPr>
            <w:r w:rsidRPr="00354B3D">
              <w:rPr>
                <w:bCs/>
              </w:rPr>
              <w:t>115.</w:t>
            </w:r>
            <w:r>
              <w:rPr>
                <w:bCs/>
              </w:rPr>
              <w:t>06</w:t>
            </w:r>
            <w:r w:rsidRPr="00354B3D">
              <w:rPr>
                <w:bCs/>
              </w:rPr>
              <w:t>2</w:t>
            </w:r>
          </w:p>
        </w:tc>
        <w:tc>
          <w:tcPr>
            <w:tcW w:w="1417" w:type="dxa"/>
            <w:shd w:val="clear" w:color="auto" w:fill="DBE5F1" w:themeFill="accent1" w:themeFillTint="33"/>
          </w:tcPr>
          <w:p w:rsidR="00F533AC" w:rsidRPr="00354B3D" w:rsidRDefault="00750627" w:rsidP="00F533AC">
            <w:pPr>
              <w:jc w:val="right"/>
              <w:rPr>
                <w:bCs/>
              </w:rPr>
            </w:pPr>
            <w:r w:rsidRPr="00354B3D">
              <w:rPr>
                <w:bCs/>
              </w:rPr>
              <w:t>569.4</w:t>
            </w:r>
            <w:r>
              <w:rPr>
                <w:bCs/>
              </w:rPr>
              <w:t>0</w:t>
            </w:r>
            <w:r w:rsidRPr="00354B3D">
              <w:rPr>
                <w:bCs/>
              </w:rPr>
              <w:t>0</w:t>
            </w:r>
          </w:p>
        </w:tc>
        <w:tc>
          <w:tcPr>
            <w:tcW w:w="1418" w:type="dxa"/>
            <w:shd w:val="clear" w:color="auto" w:fill="DBE5F1" w:themeFill="accent1" w:themeFillTint="33"/>
          </w:tcPr>
          <w:p w:rsidR="00F533AC" w:rsidRPr="00354B3D" w:rsidRDefault="00750627" w:rsidP="00F533AC">
            <w:pPr>
              <w:jc w:val="right"/>
              <w:rPr>
                <w:bCs/>
              </w:rPr>
            </w:pPr>
            <w:r w:rsidRPr="00354B3D">
              <w:rPr>
                <w:bCs/>
              </w:rPr>
              <w:t>622.</w:t>
            </w:r>
            <w:r>
              <w:rPr>
                <w:bCs/>
              </w:rPr>
              <w:t>85</w:t>
            </w:r>
            <w:r w:rsidRPr="00354B3D">
              <w:rPr>
                <w:bCs/>
              </w:rPr>
              <w:t>5</w:t>
            </w:r>
          </w:p>
        </w:tc>
        <w:tc>
          <w:tcPr>
            <w:tcW w:w="1417" w:type="dxa"/>
            <w:shd w:val="clear" w:color="auto" w:fill="DBE5F1" w:themeFill="accent1" w:themeFillTint="33"/>
          </w:tcPr>
          <w:p w:rsidR="00F533AC" w:rsidRPr="00354B3D" w:rsidRDefault="00750627" w:rsidP="00F533AC">
            <w:pPr>
              <w:jc w:val="right"/>
              <w:rPr>
                <w:bCs/>
              </w:rPr>
            </w:pPr>
            <w:r w:rsidRPr="00354B3D">
              <w:rPr>
                <w:bCs/>
              </w:rPr>
              <w:t>795.6</w:t>
            </w:r>
            <w:r>
              <w:rPr>
                <w:bCs/>
              </w:rPr>
              <w:t>89</w:t>
            </w:r>
          </w:p>
        </w:tc>
      </w:tr>
      <w:tr w:rsidR="00CB5B91" w:rsidTr="00F533AC">
        <w:tc>
          <w:tcPr>
            <w:tcW w:w="3539" w:type="dxa"/>
          </w:tcPr>
          <w:p w:rsidR="00F533AC" w:rsidRPr="00315D4D" w:rsidRDefault="00057DFB">
            <w:pPr>
              <w:rPr>
                <w:bCs/>
              </w:rPr>
            </w:pPr>
          </w:p>
        </w:tc>
        <w:tc>
          <w:tcPr>
            <w:tcW w:w="1418" w:type="dxa"/>
          </w:tcPr>
          <w:p w:rsidR="00F533AC" w:rsidRPr="00315D4D" w:rsidRDefault="00057DFB">
            <w:pPr>
              <w:jc w:val="right"/>
              <w:rPr>
                <w:color w:val="000000"/>
              </w:rPr>
            </w:pPr>
          </w:p>
        </w:tc>
        <w:tc>
          <w:tcPr>
            <w:tcW w:w="1417" w:type="dxa"/>
          </w:tcPr>
          <w:p w:rsidR="00F533AC" w:rsidRPr="00315D4D" w:rsidRDefault="00057DFB">
            <w:pPr>
              <w:jc w:val="right"/>
              <w:rPr>
                <w:bCs/>
              </w:rPr>
            </w:pPr>
          </w:p>
        </w:tc>
        <w:tc>
          <w:tcPr>
            <w:tcW w:w="1418" w:type="dxa"/>
          </w:tcPr>
          <w:p w:rsidR="00F533AC" w:rsidRPr="00315D4D" w:rsidRDefault="00057DFB">
            <w:pPr>
              <w:jc w:val="right"/>
              <w:rPr>
                <w:bCs/>
              </w:rPr>
            </w:pPr>
          </w:p>
        </w:tc>
        <w:tc>
          <w:tcPr>
            <w:tcW w:w="1417" w:type="dxa"/>
          </w:tcPr>
          <w:p w:rsidR="00F533AC" w:rsidRPr="00315D4D" w:rsidRDefault="00057DFB">
            <w:pPr>
              <w:jc w:val="right"/>
              <w:rPr>
                <w:bCs/>
              </w:rPr>
            </w:pPr>
          </w:p>
        </w:tc>
      </w:tr>
      <w:tr w:rsidR="00CB5B91" w:rsidTr="00F533AC">
        <w:tc>
          <w:tcPr>
            <w:tcW w:w="3539" w:type="dxa"/>
          </w:tcPr>
          <w:p w:rsidR="00F533AC" w:rsidRPr="00315D4D" w:rsidRDefault="00750627">
            <w:pPr>
              <w:rPr>
                <w:bCs/>
              </w:rPr>
            </w:pPr>
            <w:r w:rsidRPr="00315D4D">
              <w:rPr>
                <w:bCs/>
              </w:rPr>
              <w:t>Reserves and working capital</w:t>
            </w:r>
          </w:p>
        </w:tc>
        <w:tc>
          <w:tcPr>
            <w:tcW w:w="1418" w:type="dxa"/>
          </w:tcPr>
          <w:p w:rsidR="00F533AC" w:rsidRPr="00315D4D" w:rsidRDefault="00750627">
            <w:pPr>
              <w:jc w:val="right"/>
              <w:rPr>
                <w:color w:val="000000"/>
              </w:rPr>
            </w:pPr>
            <w:r w:rsidRPr="00315D4D">
              <w:rPr>
                <w:color w:val="000000"/>
              </w:rPr>
              <w:t>(398.984)</w:t>
            </w:r>
          </w:p>
        </w:tc>
        <w:tc>
          <w:tcPr>
            <w:tcW w:w="1417" w:type="dxa"/>
          </w:tcPr>
          <w:p w:rsidR="00F533AC" w:rsidRPr="00315D4D" w:rsidRDefault="00750627">
            <w:pPr>
              <w:jc w:val="right"/>
              <w:rPr>
                <w:bCs/>
              </w:rPr>
            </w:pPr>
            <w:r w:rsidRPr="00315D4D">
              <w:rPr>
                <w:bCs/>
              </w:rPr>
              <w:t>(293.532)</w:t>
            </w:r>
          </w:p>
        </w:tc>
        <w:tc>
          <w:tcPr>
            <w:tcW w:w="1418" w:type="dxa"/>
          </w:tcPr>
          <w:p w:rsidR="00F533AC" w:rsidRPr="00315D4D" w:rsidRDefault="00750627">
            <w:pPr>
              <w:jc w:val="right"/>
              <w:rPr>
                <w:bCs/>
              </w:rPr>
            </w:pPr>
            <w:r w:rsidRPr="00315D4D">
              <w:rPr>
                <w:bCs/>
              </w:rPr>
              <w:t>(250.867)</w:t>
            </w:r>
          </w:p>
        </w:tc>
        <w:tc>
          <w:tcPr>
            <w:tcW w:w="1417" w:type="dxa"/>
          </w:tcPr>
          <w:p w:rsidR="00F533AC" w:rsidRPr="00315D4D" w:rsidRDefault="00750627">
            <w:pPr>
              <w:jc w:val="right"/>
              <w:rPr>
                <w:bCs/>
              </w:rPr>
            </w:pPr>
            <w:r w:rsidRPr="00315D4D">
              <w:rPr>
                <w:bCs/>
              </w:rPr>
              <w:t>(247.367)</w:t>
            </w:r>
          </w:p>
        </w:tc>
      </w:tr>
      <w:tr w:rsidR="00CB5B91" w:rsidTr="00F533AC">
        <w:tc>
          <w:tcPr>
            <w:tcW w:w="3539" w:type="dxa"/>
            <w:shd w:val="clear" w:color="auto" w:fill="DBE5F1" w:themeFill="accent1" w:themeFillTint="33"/>
          </w:tcPr>
          <w:p w:rsidR="00F533AC" w:rsidRPr="00354B3D" w:rsidRDefault="00750627">
            <w:pPr>
              <w:rPr>
                <w:bCs/>
              </w:rPr>
            </w:pPr>
            <w:r w:rsidRPr="00354B3D">
              <w:rPr>
                <w:bCs/>
              </w:rPr>
              <w:t>Borrowing/(investment) need</w:t>
            </w:r>
          </w:p>
        </w:tc>
        <w:tc>
          <w:tcPr>
            <w:tcW w:w="1418" w:type="dxa"/>
            <w:shd w:val="clear" w:color="auto" w:fill="DBE5F1" w:themeFill="accent1" w:themeFillTint="33"/>
          </w:tcPr>
          <w:p w:rsidR="00F533AC" w:rsidRPr="00354B3D" w:rsidRDefault="00750627" w:rsidP="00F533AC">
            <w:pPr>
              <w:jc w:val="right"/>
              <w:rPr>
                <w:bCs/>
              </w:rPr>
            </w:pPr>
            <w:r w:rsidRPr="00354B3D">
              <w:rPr>
                <w:bCs/>
              </w:rPr>
              <w:t>(283.</w:t>
            </w:r>
            <w:r>
              <w:rPr>
                <w:bCs/>
              </w:rPr>
              <w:t>92</w:t>
            </w:r>
            <w:r w:rsidRPr="00354B3D">
              <w:rPr>
                <w:bCs/>
              </w:rPr>
              <w:t>2)</w:t>
            </w:r>
          </w:p>
        </w:tc>
        <w:tc>
          <w:tcPr>
            <w:tcW w:w="1417" w:type="dxa"/>
            <w:shd w:val="clear" w:color="auto" w:fill="DBE5F1" w:themeFill="accent1" w:themeFillTint="33"/>
          </w:tcPr>
          <w:p w:rsidR="00F533AC" w:rsidRPr="00354B3D" w:rsidRDefault="00750627" w:rsidP="00F533AC">
            <w:pPr>
              <w:jc w:val="right"/>
              <w:rPr>
                <w:bCs/>
              </w:rPr>
            </w:pPr>
            <w:r w:rsidRPr="00354B3D">
              <w:rPr>
                <w:bCs/>
              </w:rPr>
              <w:t>275.8</w:t>
            </w:r>
            <w:r>
              <w:rPr>
                <w:bCs/>
              </w:rPr>
              <w:t>6</w:t>
            </w:r>
            <w:r w:rsidRPr="00354B3D">
              <w:rPr>
                <w:bCs/>
              </w:rPr>
              <w:t>8</w:t>
            </w:r>
          </w:p>
        </w:tc>
        <w:tc>
          <w:tcPr>
            <w:tcW w:w="1418" w:type="dxa"/>
            <w:shd w:val="clear" w:color="auto" w:fill="DBE5F1" w:themeFill="accent1" w:themeFillTint="33"/>
          </w:tcPr>
          <w:p w:rsidR="00F533AC" w:rsidRPr="00354B3D" w:rsidRDefault="00750627" w:rsidP="00F533AC">
            <w:pPr>
              <w:jc w:val="right"/>
              <w:rPr>
                <w:bCs/>
              </w:rPr>
            </w:pPr>
            <w:r w:rsidRPr="00354B3D">
              <w:rPr>
                <w:bCs/>
              </w:rPr>
              <w:t>371.</w:t>
            </w:r>
            <w:r>
              <w:rPr>
                <w:bCs/>
              </w:rPr>
              <w:t>98</w:t>
            </w:r>
            <w:r w:rsidRPr="00354B3D">
              <w:rPr>
                <w:bCs/>
              </w:rPr>
              <w:t>8</w:t>
            </w:r>
          </w:p>
        </w:tc>
        <w:tc>
          <w:tcPr>
            <w:tcW w:w="1417" w:type="dxa"/>
            <w:shd w:val="clear" w:color="auto" w:fill="DBE5F1" w:themeFill="accent1" w:themeFillTint="33"/>
          </w:tcPr>
          <w:p w:rsidR="00F533AC" w:rsidRPr="00354B3D" w:rsidRDefault="00750627">
            <w:pPr>
              <w:jc w:val="right"/>
              <w:rPr>
                <w:bCs/>
              </w:rPr>
            </w:pPr>
            <w:r w:rsidRPr="00354B3D">
              <w:rPr>
                <w:bCs/>
              </w:rPr>
              <w:t>548.322</w:t>
            </w:r>
          </w:p>
        </w:tc>
      </w:tr>
    </w:tbl>
    <w:p w:rsidR="00F533AC" w:rsidRDefault="00057DFB" w:rsidP="00F533AC">
      <w:pPr>
        <w:jc w:val="both"/>
        <w:rPr>
          <w:bCs/>
        </w:rPr>
      </w:pPr>
    </w:p>
    <w:p w:rsidR="00F533AC" w:rsidRPr="00466C22" w:rsidRDefault="00750627" w:rsidP="00F533AC">
      <w:pPr>
        <w:jc w:val="both"/>
        <w:rPr>
          <w:bCs/>
        </w:rPr>
      </w:pPr>
      <w:r w:rsidRPr="00466C22">
        <w:rPr>
          <w:bCs/>
        </w:rPr>
        <w:t>The CFR forecast</w:t>
      </w:r>
      <w:r>
        <w:rPr>
          <w:bCs/>
        </w:rPr>
        <w:t xml:space="preserve"> in the table above</w:t>
      </w:r>
      <w:r w:rsidRPr="00466C22">
        <w:rPr>
          <w:bCs/>
        </w:rPr>
        <w:t xml:space="preserve"> includes the latest forecast of the funding of the approved Capital Programme. The </w:t>
      </w:r>
      <w:r>
        <w:rPr>
          <w:bCs/>
        </w:rPr>
        <w:t>p</w:t>
      </w:r>
      <w:r w:rsidRPr="00466C22">
        <w:rPr>
          <w:bCs/>
        </w:rPr>
        <w:t xml:space="preserve">rogramme assumes </w:t>
      </w:r>
      <w:r>
        <w:rPr>
          <w:bCs/>
        </w:rPr>
        <w:t>expenditure funded by</w:t>
      </w:r>
      <w:r w:rsidRPr="00466C22">
        <w:rPr>
          <w:bCs/>
        </w:rPr>
        <w:t xml:space="preserve"> borrowing of: </w:t>
      </w:r>
    </w:p>
    <w:p w:rsidR="00F533AC" w:rsidRPr="00466C22" w:rsidRDefault="00057DFB" w:rsidP="00F533AC">
      <w:pPr>
        <w:jc w:val="both"/>
        <w:rPr>
          <w:bCs/>
        </w:rPr>
      </w:pPr>
    </w:p>
    <w:p w:rsidR="00F533AC" w:rsidRPr="00466C22" w:rsidRDefault="00750627" w:rsidP="00F533AC">
      <w:pPr>
        <w:jc w:val="both"/>
        <w:rPr>
          <w:bCs/>
        </w:rPr>
      </w:pPr>
      <w:r w:rsidRPr="00466C22">
        <w:rPr>
          <w:bCs/>
        </w:rPr>
        <w:t>2017/18   £84.718m</w:t>
      </w:r>
    </w:p>
    <w:p w:rsidR="00F533AC" w:rsidRPr="00466C22" w:rsidRDefault="00750627" w:rsidP="00F533AC">
      <w:pPr>
        <w:jc w:val="both"/>
        <w:rPr>
          <w:bCs/>
        </w:rPr>
      </w:pPr>
      <w:r w:rsidRPr="00466C22">
        <w:rPr>
          <w:bCs/>
        </w:rPr>
        <w:t>2018/19   £73.609m</w:t>
      </w:r>
    </w:p>
    <w:p w:rsidR="00F533AC" w:rsidRPr="00466C22" w:rsidRDefault="00750627" w:rsidP="00F533AC">
      <w:pPr>
        <w:jc w:val="both"/>
        <w:rPr>
          <w:bCs/>
        </w:rPr>
      </w:pPr>
      <w:r w:rsidRPr="00466C22">
        <w:rPr>
          <w:bCs/>
        </w:rPr>
        <w:t>2019/20   £38.644m</w:t>
      </w:r>
    </w:p>
    <w:p w:rsidR="00F533AC" w:rsidRDefault="00750627" w:rsidP="00F533AC">
      <w:pPr>
        <w:jc w:val="both"/>
        <w:rPr>
          <w:bCs/>
        </w:rPr>
      </w:pPr>
      <w:r w:rsidRPr="00466C22">
        <w:rPr>
          <w:bCs/>
        </w:rPr>
        <w:t>2020/21   £</w:t>
      </w:r>
      <w:r>
        <w:rPr>
          <w:bCs/>
        </w:rPr>
        <w:t xml:space="preserve"> </w:t>
      </w:r>
      <w:r w:rsidRPr="00466C22">
        <w:rPr>
          <w:bCs/>
        </w:rPr>
        <w:t>3.455m</w:t>
      </w:r>
    </w:p>
    <w:p w:rsidR="00F533AC" w:rsidRDefault="00057DFB" w:rsidP="00F533AC">
      <w:pPr>
        <w:jc w:val="both"/>
        <w:rPr>
          <w:bCs/>
        </w:rPr>
      </w:pPr>
    </w:p>
    <w:p w:rsidR="00F533AC" w:rsidRDefault="00750627" w:rsidP="00F533AC">
      <w:pPr>
        <w:jc w:val="both"/>
        <w:rPr>
          <w:bCs/>
        </w:rPr>
      </w:pPr>
      <w:r>
        <w:rPr>
          <w:bCs/>
        </w:rPr>
        <w:t>Clearly, these will be subject to change as the capital programme develops.</w:t>
      </w:r>
    </w:p>
    <w:p w:rsidR="00F533AC" w:rsidRDefault="00057DFB" w:rsidP="00F533AC">
      <w:pPr>
        <w:jc w:val="both"/>
        <w:rPr>
          <w:bCs/>
        </w:rPr>
      </w:pPr>
    </w:p>
    <w:p w:rsidR="00F533AC" w:rsidRPr="00925907" w:rsidRDefault="00750627" w:rsidP="00F533AC">
      <w:pPr>
        <w:jc w:val="both"/>
        <w:rPr>
          <w:bCs/>
        </w:rPr>
      </w:pPr>
      <w:r>
        <w:rPr>
          <w:bCs/>
        </w:rPr>
        <w:t xml:space="preserve">The table shows that from 2018/19 onwards the council has a borrowing requirement even if it followed a policy of internal borrowing. However, the council has in recent years pursued a </w:t>
      </w:r>
      <w:r w:rsidRPr="00925907">
        <w:rPr>
          <w:bCs/>
        </w:rPr>
        <w:t>policy to hold as investments a sum as close</w:t>
      </w:r>
      <w:r>
        <w:rPr>
          <w:bCs/>
        </w:rPr>
        <w:t xml:space="preserve"> as possible</w:t>
      </w:r>
      <w:r w:rsidRPr="00925907">
        <w:rPr>
          <w:bCs/>
        </w:rPr>
        <w:t xml:space="preserve"> to the cash value of its balance sheet</w:t>
      </w:r>
      <w:r>
        <w:rPr>
          <w:bCs/>
        </w:rPr>
        <w:t xml:space="preserve">. Consideration is also given to </w:t>
      </w:r>
      <w:r w:rsidRPr="00925907">
        <w:rPr>
          <w:bCs/>
        </w:rPr>
        <w:t xml:space="preserve">matching </w:t>
      </w:r>
      <w:r>
        <w:rPr>
          <w:bCs/>
        </w:rPr>
        <w:t>the</w:t>
      </w:r>
      <w:r w:rsidRPr="00925907">
        <w:rPr>
          <w:bCs/>
        </w:rPr>
        <w:t xml:space="preserve"> duration </w:t>
      </w:r>
      <w:r>
        <w:rPr>
          <w:bCs/>
        </w:rPr>
        <w:t xml:space="preserve">of the cash balance anticipated. This policy will continue in 2018/19 but it will be regularly reviewed to ensure value for money is achieved. </w:t>
      </w:r>
    </w:p>
    <w:p w:rsidR="00F533AC" w:rsidRPr="0085169E" w:rsidRDefault="00057DFB" w:rsidP="00F533AC">
      <w:pPr>
        <w:jc w:val="both"/>
        <w:rPr>
          <w:bCs/>
        </w:rPr>
      </w:pPr>
    </w:p>
    <w:p w:rsidR="00F533AC" w:rsidRPr="004977DB" w:rsidRDefault="00750627" w:rsidP="00F533AC">
      <w:pPr>
        <w:rPr>
          <w:b/>
          <w:sz w:val="28"/>
          <w:szCs w:val="28"/>
        </w:rPr>
      </w:pPr>
      <w:r w:rsidRPr="004977DB">
        <w:rPr>
          <w:b/>
          <w:sz w:val="28"/>
          <w:szCs w:val="28"/>
        </w:rPr>
        <w:t>Borrowing Strategy</w:t>
      </w:r>
    </w:p>
    <w:p w:rsidR="00F533AC" w:rsidRDefault="00057DFB" w:rsidP="00F533AC">
      <w:pPr>
        <w:rPr>
          <w:b/>
        </w:rPr>
      </w:pPr>
    </w:p>
    <w:p w:rsidR="00F533AC" w:rsidRPr="00D60347" w:rsidRDefault="00750627" w:rsidP="00F533AC">
      <w:pPr>
        <w:jc w:val="both"/>
        <w:rPr>
          <w:b/>
        </w:rPr>
      </w:pPr>
      <w:r w:rsidRPr="00D60347">
        <w:t xml:space="preserve">The </w:t>
      </w:r>
      <w:r>
        <w:t>b</w:t>
      </w:r>
      <w:r w:rsidRPr="00D60347">
        <w:t xml:space="preserve">orrowing </w:t>
      </w:r>
      <w:r>
        <w:t>s</w:t>
      </w:r>
      <w:r w:rsidRPr="00D60347">
        <w:t xml:space="preserve">trategy will be determined by the need </w:t>
      </w:r>
      <w:r>
        <w:t>for</w:t>
      </w:r>
      <w:r w:rsidRPr="00D60347">
        <w:t xml:space="preserve"> the</w:t>
      </w:r>
      <w:r>
        <w:t xml:space="preserve"> council</w:t>
      </w:r>
      <w:r w:rsidRPr="00D60347">
        <w:t xml:space="preserve"> to borrow and the impact of the economic climate </w:t>
      </w:r>
      <w:r>
        <w:t>on the prevailing cost and availability of borrowing</w:t>
      </w:r>
      <w:r>
        <w:rPr>
          <w:b/>
        </w:rPr>
        <w:t xml:space="preserve">. </w:t>
      </w:r>
    </w:p>
    <w:p w:rsidR="00F533AC" w:rsidRPr="00860EAE" w:rsidRDefault="00057DFB" w:rsidP="00F533AC">
      <w:pPr>
        <w:pStyle w:val="ListParagraph"/>
        <w:jc w:val="both"/>
      </w:pPr>
    </w:p>
    <w:p w:rsidR="00F533AC" w:rsidRDefault="00750627" w:rsidP="00F533AC">
      <w:pPr>
        <w:jc w:val="both"/>
      </w:pPr>
      <w:r>
        <w:t>The council borrows for capital purposes with t</w:t>
      </w:r>
      <w:r w:rsidRPr="00232D8C">
        <w:t xml:space="preserve">he </w:t>
      </w:r>
      <w:r>
        <w:t xml:space="preserve">underlying need to borrow for capital purposes being measured by the Capital Financing Requirement (CFR). </w:t>
      </w:r>
      <w:r w:rsidRPr="008F6986">
        <w:t xml:space="preserve">CIPFA’s Prudential Code for Capital Finance in Local Authorities recommends that the </w:t>
      </w:r>
      <w:r>
        <w:t>council's</w:t>
      </w:r>
      <w:r w:rsidRPr="008F6986">
        <w:t xml:space="preserve"> total debt should be lower than its highest forecast CFR over the next three years</w:t>
      </w:r>
      <w:r>
        <w:t xml:space="preserve">. The council has a borrowing requirement over the next three years, however in assessing the need to borrow consideration is given to the requirement to borrow for the longer term. The graph below compares the estimated CFR given the capital programme, MRP policy and the debt maturity position at </w:t>
      </w:r>
      <w:r w:rsidRPr="00740A38">
        <w:t>30 November</w:t>
      </w:r>
      <w:r>
        <w:t xml:space="preserve"> 2017.</w:t>
      </w:r>
    </w:p>
    <w:p w:rsidR="00F533AC" w:rsidRDefault="00750627" w:rsidP="00F533AC">
      <w:pPr>
        <w:jc w:val="both"/>
      </w:pPr>
      <w:r>
        <w:rPr>
          <w:noProof/>
        </w:rPr>
        <w:lastRenderedPageBreak/>
        <w:drawing>
          <wp:inline distT="0" distB="0" distL="0" distR="0">
            <wp:extent cx="5686425" cy="29051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533AC" w:rsidRDefault="00057DFB" w:rsidP="00F533AC">
      <w:pPr>
        <w:jc w:val="both"/>
      </w:pPr>
    </w:p>
    <w:p w:rsidR="00F533AC" w:rsidRDefault="00750627" w:rsidP="00F533AC">
      <w:pPr>
        <w:jc w:val="both"/>
      </w:pPr>
      <w:r>
        <w:t>The graph demonstrates that there is a need to borrow over the long term although the amount required reduces over time. There is a large requirement in the early years. This is due to the impact of new capital schemes in the programme and the need to replace existing debt as the council has followed a policy of taking short term loans to take advantage of existing market conditions. In addition to the borrowing for capital there is likely to be borrowing requirements for the shared investment scheme, City Deal and premiums which are outside the CFR.</w:t>
      </w:r>
    </w:p>
    <w:p w:rsidR="00F533AC" w:rsidRDefault="00057DFB" w:rsidP="00F533AC">
      <w:pPr>
        <w:jc w:val="both"/>
      </w:pPr>
    </w:p>
    <w:p w:rsidR="00F533AC" w:rsidRDefault="00750627" w:rsidP="00F533AC">
      <w:pPr>
        <w:jc w:val="both"/>
      </w:pPr>
      <w:r>
        <w:t>Th</w:t>
      </w:r>
      <w:r w:rsidRPr="00760BC6">
        <w:t xml:space="preserve">e </w:t>
      </w:r>
      <w:r>
        <w:t>council's</w:t>
      </w:r>
      <w:r w:rsidRPr="00760BC6">
        <w:t xml:space="preserve"> borrowing strategy continues to </w:t>
      </w:r>
      <w:r>
        <w:t xml:space="preserve">balance the issues of affordability while ensuring the borrowing needs are met and providing some certainty of cost over the long term. </w:t>
      </w:r>
    </w:p>
    <w:p w:rsidR="00F533AC" w:rsidRDefault="00057DFB" w:rsidP="00F533AC">
      <w:pPr>
        <w:jc w:val="both"/>
      </w:pPr>
    </w:p>
    <w:p w:rsidR="00F533AC" w:rsidRPr="00BF0506" w:rsidRDefault="00750627" w:rsidP="00F533AC">
      <w:pPr>
        <w:jc w:val="both"/>
      </w:pPr>
      <w:r w:rsidRPr="00DB191F">
        <w:t xml:space="preserve">With short-term interest rates currently lower than long-term rates, it </w:t>
      </w:r>
      <w:r>
        <w:t>has been</w:t>
      </w:r>
      <w:r w:rsidRPr="00DB191F">
        <w:t xml:space="preserve"> more co</w:t>
      </w:r>
      <w:r>
        <w:t xml:space="preserve">st effective in the short-term </w:t>
      </w:r>
      <w:r w:rsidRPr="00DB191F">
        <w:t>to borrow short-term</w:t>
      </w:r>
      <w:r>
        <w:t xml:space="preserve">. Given the economic outlook, significant increases in interest rates are not forecast in the medium term so this situation is likely to continue. However, there is significant economic uncertainty and rates are at historically low levels. Therefore the </w:t>
      </w:r>
      <w:r w:rsidRPr="0071222F">
        <w:t xml:space="preserve">benefits of short-term borrowing will be monitored regularly against the potential for incurring additional costs by deferring borrowing into future years when long-term borrowing rates </w:t>
      </w:r>
      <w:r>
        <w:t>may</w:t>
      </w:r>
      <w:r w:rsidRPr="0071222F">
        <w:t xml:space="preserve"> rise</w:t>
      </w:r>
      <w:r>
        <w:t xml:space="preserve">. </w:t>
      </w:r>
      <w:r w:rsidRPr="0071222F">
        <w:t xml:space="preserve"> </w:t>
      </w:r>
      <w:r>
        <w:t xml:space="preserve">As a result the council </w:t>
      </w:r>
      <w:r w:rsidRPr="0071222F">
        <w:t>may borrow additional sums at long-term fixed rates in 201</w:t>
      </w:r>
      <w:r>
        <w:t>8</w:t>
      </w:r>
      <w:r w:rsidRPr="0071222F">
        <w:t>/1</w:t>
      </w:r>
      <w:r>
        <w:t>9</w:t>
      </w:r>
      <w:r w:rsidRPr="0071222F">
        <w:t xml:space="preserve"> with a view to keeping future interest costs low, even if this causes additional cost in the short-term.</w:t>
      </w:r>
    </w:p>
    <w:p w:rsidR="00F533AC" w:rsidRPr="00BF0506" w:rsidRDefault="00057DFB">
      <w:pPr>
        <w:pStyle w:val="ListParagraph"/>
        <w:jc w:val="both"/>
      </w:pPr>
    </w:p>
    <w:p w:rsidR="00F533AC" w:rsidRPr="00760BC6" w:rsidRDefault="00750627" w:rsidP="00F533AC">
      <w:pPr>
        <w:spacing w:after="240"/>
        <w:jc w:val="both"/>
      </w:pPr>
      <w:r w:rsidRPr="00760BC6">
        <w:t>There are a range of options available for borrowing in 201</w:t>
      </w:r>
      <w:r>
        <w:t>8</w:t>
      </w:r>
      <w:r w:rsidRPr="00760BC6">
        <w:t>/1</w:t>
      </w:r>
      <w:r>
        <w:t>9:</w:t>
      </w:r>
      <w:r w:rsidRPr="00760BC6">
        <w:t xml:space="preserve"> </w:t>
      </w:r>
    </w:p>
    <w:p w:rsidR="00F533AC" w:rsidRPr="00616B23" w:rsidRDefault="00750627" w:rsidP="00F533AC">
      <w:pPr>
        <w:pStyle w:val="ListParagraph"/>
        <w:numPr>
          <w:ilvl w:val="0"/>
          <w:numId w:val="7"/>
        </w:numPr>
        <w:spacing w:after="240"/>
        <w:jc w:val="both"/>
      </w:pPr>
      <w:r w:rsidRPr="00616B23">
        <w:t xml:space="preserve">Variable rate borrowing is expected to be cheaper than fixed rate long term borrowing and will be attractive during the financial year, particularly as variable rates are closely linked to bank rates. </w:t>
      </w:r>
    </w:p>
    <w:p w:rsidR="00F533AC" w:rsidRDefault="00750627" w:rsidP="00F533AC">
      <w:pPr>
        <w:pStyle w:val="ListParagraph"/>
        <w:numPr>
          <w:ilvl w:val="0"/>
          <w:numId w:val="7"/>
        </w:numPr>
        <w:spacing w:after="240"/>
        <w:jc w:val="both"/>
      </w:pPr>
      <w:r w:rsidRPr="00616B23">
        <w:t xml:space="preserve">Under 10 years rates are expected to be lower than long term rates, so this opens up a range of choices that may allow the </w:t>
      </w:r>
      <w:r>
        <w:t>c</w:t>
      </w:r>
      <w:r w:rsidRPr="00616B23">
        <w:t xml:space="preserve">ouncil to spread maturities away from </w:t>
      </w:r>
      <w:r>
        <w:t xml:space="preserve">a </w:t>
      </w:r>
      <w:r w:rsidRPr="00616B23">
        <w:t>concentration on long dated debt.</w:t>
      </w:r>
    </w:p>
    <w:p w:rsidR="00F533AC" w:rsidRPr="00C01327" w:rsidRDefault="00750627" w:rsidP="00F533AC">
      <w:pPr>
        <w:pStyle w:val="ListParagraph"/>
        <w:numPr>
          <w:ilvl w:val="0"/>
          <w:numId w:val="7"/>
        </w:numPr>
        <w:spacing w:after="240"/>
        <w:jc w:val="both"/>
      </w:pPr>
      <w:r>
        <w:lastRenderedPageBreak/>
        <w:t>Additionally, a</w:t>
      </w:r>
      <w:r w:rsidRPr="00C01327">
        <w:t xml:space="preserve">lthough it is not felt </w:t>
      </w:r>
      <w:r>
        <w:t>appropriate at this time, borrowing</w:t>
      </w:r>
      <w:r w:rsidRPr="00C01327">
        <w:t xml:space="preserve"> can be achieved through </w:t>
      </w:r>
      <w:r>
        <w:t xml:space="preserve">the </w:t>
      </w:r>
      <w:r w:rsidRPr="00C01327">
        <w:t xml:space="preserve">issuance </w:t>
      </w:r>
      <w:r>
        <w:t>of a</w:t>
      </w:r>
      <w:r w:rsidRPr="00C01327">
        <w:t xml:space="preserve"> </w:t>
      </w:r>
      <w:r>
        <w:t xml:space="preserve">'commercial paper', </w:t>
      </w:r>
      <w:r w:rsidRPr="00C01327">
        <w:t>euro medium term note (EMTN)</w:t>
      </w:r>
      <w:r>
        <w:t xml:space="preserve">. </w:t>
      </w:r>
    </w:p>
    <w:p w:rsidR="00F533AC" w:rsidRPr="00240DD0" w:rsidRDefault="00750627" w:rsidP="00F533AC">
      <w:pPr>
        <w:pStyle w:val="ListParagraph"/>
        <w:numPr>
          <w:ilvl w:val="0"/>
          <w:numId w:val="7"/>
        </w:numPr>
        <w:spacing w:after="240"/>
        <w:jc w:val="both"/>
      </w:pPr>
      <w:r w:rsidRPr="00240DD0">
        <w:t xml:space="preserve">There is also the option to add the LGA's Municipal Bond Agency to the </w:t>
      </w:r>
      <w:r>
        <w:t>c</w:t>
      </w:r>
      <w:r w:rsidRPr="00240DD0">
        <w:t xml:space="preserve">ouncil's list of approved borrowing counterparties but this </w:t>
      </w:r>
      <w:r>
        <w:t>would</w:t>
      </w:r>
      <w:r w:rsidRPr="00240DD0">
        <w:t xml:space="preserve"> be subject to</w:t>
      </w:r>
      <w:r>
        <w:t xml:space="preserve"> further</w:t>
      </w:r>
      <w:r w:rsidRPr="00240DD0">
        <w:t xml:space="preserve"> approval from </w:t>
      </w:r>
      <w:r>
        <w:t>a meeting of Full Council</w:t>
      </w:r>
      <w:r w:rsidRPr="00240DD0">
        <w:t>.</w:t>
      </w:r>
    </w:p>
    <w:p w:rsidR="00F533AC" w:rsidRPr="00932EE8" w:rsidRDefault="00750627" w:rsidP="00F533AC">
      <w:pPr>
        <w:spacing w:after="240"/>
        <w:jc w:val="both"/>
      </w:pPr>
      <w:r w:rsidRPr="00BF0506">
        <w:t xml:space="preserve">Against this background, the section 151 officer will, in conjunction with the </w:t>
      </w:r>
      <w:r>
        <w:t>c</w:t>
      </w:r>
      <w:r w:rsidRPr="00BF0506">
        <w:t>ouncil's</w:t>
      </w:r>
      <w:r>
        <w:t xml:space="preserve"> </w:t>
      </w:r>
      <w:r w:rsidRPr="00BF0506">
        <w:t>advis</w:t>
      </w:r>
      <w:r>
        <w:t>e</w:t>
      </w:r>
      <w:r w:rsidRPr="00BF0506">
        <w:t xml:space="preserve">rs, monitor the interest rate situation closely and will adopt a pragmatic approach to delivering the objectives of this strategy within changing economic circumstances. </w:t>
      </w:r>
      <w:r w:rsidRPr="00932EE8">
        <w:t>All decisions on whether to undertake new or replacement borrowing to support previous or future capital investment will be subject to evaluation against the following criteria:</w:t>
      </w:r>
    </w:p>
    <w:p w:rsidR="00F533AC" w:rsidRPr="00932EE8" w:rsidRDefault="00750627" w:rsidP="00F533AC">
      <w:pPr>
        <w:pStyle w:val="ListParagraph"/>
        <w:numPr>
          <w:ilvl w:val="0"/>
          <w:numId w:val="1"/>
        </w:numPr>
        <w:spacing w:after="240"/>
        <w:jc w:val="both"/>
      </w:pPr>
      <w:r>
        <w:t>Overall need namely</w:t>
      </w:r>
      <w:r w:rsidRPr="00932EE8">
        <w:t xml:space="preserve"> whether a borrowing requirement to fund the capital programme or previous capital investment exists;</w:t>
      </w:r>
    </w:p>
    <w:p w:rsidR="00F533AC" w:rsidRPr="00932EE8" w:rsidRDefault="00750627" w:rsidP="00F533AC">
      <w:pPr>
        <w:pStyle w:val="ListParagraph"/>
        <w:numPr>
          <w:ilvl w:val="0"/>
          <w:numId w:val="1"/>
        </w:numPr>
        <w:spacing w:after="240"/>
        <w:jc w:val="both"/>
      </w:pPr>
      <w:r w:rsidRPr="00932EE8">
        <w:t>Timing, when such a borrowing requirement might exist given the overall strategy for financing capital investment, and previous capital spending performance;</w:t>
      </w:r>
    </w:p>
    <w:p w:rsidR="00F533AC" w:rsidRDefault="00750627" w:rsidP="00F533AC">
      <w:pPr>
        <w:pStyle w:val="ListParagraph"/>
        <w:numPr>
          <w:ilvl w:val="0"/>
          <w:numId w:val="1"/>
        </w:numPr>
        <w:spacing w:after="240"/>
        <w:jc w:val="both"/>
      </w:pPr>
      <w:r w:rsidRPr="00932EE8">
        <w:t xml:space="preserve">Market conditions, to ensure borrowing that does need to be undertaken is achieved at minimum cost, </w:t>
      </w:r>
    </w:p>
    <w:p w:rsidR="00F533AC" w:rsidRPr="00932EE8" w:rsidRDefault="00750627" w:rsidP="00F533AC">
      <w:pPr>
        <w:pStyle w:val="ListParagraph"/>
        <w:numPr>
          <w:ilvl w:val="0"/>
          <w:numId w:val="1"/>
        </w:numPr>
        <w:spacing w:after="240"/>
        <w:jc w:val="both"/>
      </w:pPr>
      <w:r w:rsidRPr="00932EE8">
        <w:t>Scale, to ensure borrowing is undertaken on a scale commensurate with the agreed financing route.</w:t>
      </w:r>
    </w:p>
    <w:p w:rsidR="00F533AC" w:rsidRDefault="00750627" w:rsidP="00F533AC">
      <w:pPr>
        <w:spacing w:after="240"/>
        <w:jc w:val="both"/>
      </w:pPr>
      <w:r w:rsidRPr="00932EE8">
        <w:t>All long term decisions will be documented reflecting the assessment of these criteria.</w:t>
      </w:r>
    </w:p>
    <w:p w:rsidR="00F533AC" w:rsidRPr="00354B3D" w:rsidRDefault="00750627" w:rsidP="00F533AC">
      <w:pPr>
        <w:jc w:val="both"/>
        <w:rPr>
          <w:b/>
          <w:i/>
        </w:rPr>
      </w:pPr>
      <w:r w:rsidRPr="00354B3D">
        <w:rPr>
          <w:b/>
          <w:i/>
        </w:rPr>
        <w:t xml:space="preserve">Sources of borrowing </w:t>
      </w:r>
    </w:p>
    <w:p w:rsidR="00F533AC" w:rsidRDefault="00057DFB" w:rsidP="00F533AC">
      <w:pPr>
        <w:jc w:val="both"/>
      </w:pPr>
    </w:p>
    <w:p w:rsidR="00F533AC" w:rsidRPr="00B27B53" w:rsidRDefault="00750627" w:rsidP="00F533AC">
      <w:pPr>
        <w:jc w:val="both"/>
      </w:pPr>
      <w:r w:rsidRPr="00B27B53">
        <w:t>The approved sources of long-term and short-term borrowing will be:</w:t>
      </w:r>
    </w:p>
    <w:p w:rsidR="00F533AC" w:rsidRPr="00B27B53" w:rsidRDefault="00057DFB" w:rsidP="00F533AC">
      <w:pPr>
        <w:jc w:val="both"/>
      </w:pPr>
    </w:p>
    <w:p w:rsidR="00F533AC" w:rsidRDefault="00750627" w:rsidP="00F533AC">
      <w:pPr>
        <w:widowControl w:val="0"/>
        <w:numPr>
          <w:ilvl w:val="0"/>
          <w:numId w:val="18"/>
        </w:numPr>
        <w:jc w:val="both"/>
      </w:pPr>
      <w:r w:rsidRPr="00B27B53">
        <w:t>Public Works Loan Board</w:t>
      </w:r>
      <w:r>
        <w:t>.</w:t>
      </w:r>
    </w:p>
    <w:p w:rsidR="00F533AC" w:rsidRDefault="00750627" w:rsidP="00F533AC">
      <w:pPr>
        <w:pStyle w:val="NoSpacing"/>
        <w:numPr>
          <w:ilvl w:val="0"/>
          <w:numId w:val="18"/>
        </w:numPr>
        <w:jc w:val="both"/>
      </w:pPr>
      <w:r w:rsidRPr="00B27B53">
        <w:t>UK Local Authorities</w:t>
      </w:r>
      <w:r>
        <w:t>.</w:t>
      </w:r>
    </w:p>
    <w:p w:rsidR="00F533AC" w:rsidRDefault="00750627" w:rsidP="00F533AC">
      <w:pPr>
        <w:pStyle w:val="NoSpacing"/>
        <w:numPr>
          <w:ilvl w:val="0"/>
          <w:numId w:val="18"/>
        </w:numPr>
        <w:jc w:val="both"/>
      </w:pPr>
      <w:proofErr w:type="gramStart"/>
      <w:r w:rsidRPr="00B27B53">
        <w:t>any</w:t>
      </w:r>
      <w:proofErr w:type="gramEnd"/>
      <w:r w:rsidRPr="00B27B53">
        <w:t xml:space="preserve"> institution approved for investments </w:t>
      </w:r>
      <w:r>
        <w:t>including high quality supranational banks such as the European Central Bank.</w:t>
      </w:r>
    </w:p>
    <w:p w:rsidR="00F533AC" w:rsidRDefault="00750627" w:rsidP="00F533AC">
      <w:pPr>
        <w:pStyle w:val="NoSpacing"/>
        <w:numPr>
          <w:ilvl w:val="0"/>
          <w:numId w:val="18"/>
        </w:numPr>
        <w:jc w:val="both"/>
      </w:pPr>
      <w:r w:rsidRPr="00B27B53">
        <w:t>UK public and private sector pension funds</w:t>
      </w:r>
      <w:r>
        <w:t>.</w:t>
      </w:r>
    </w:p>
    <w:p w:rsidR="00F533AC" w:rsidRPr="00B27B53" w:rsidRDefault="00750627" w:rsidP="00F533AC">
      <w:pPr>
        <w:pStyle w:val="NoSpacing"/>
        <w:numPr>
          <w:ilvl w:val="0"/>
          <w:numId w:val="18"/>
        </w:numPr>
        <w:jc w:val="both"/>
      </w:pPr>
      <w:r>
        <w:t xml:space="preserve">Any other financial institution approved by the </w:t>
      </w:r>
      <w:r w:rsidRPr="000C3B5D">
        <w:t>Prudential Regulation Authority</w:t>
      </w:r>
      <w:r>
        <w:t xml:space="preserve">, which is part of the Bank of England </w:t>
      </w:r>
      <w:r w:rsidRPr="000C3B5D">
        <w:t>and is responsible for the  regulation and supervision of around 1,700 banks, building societies, credit unions, insurers and major investment firms</w:t>
      </w:r>
      <w:r>
        <w:t>.</w:t>
      </w:r>
    </w:p>
    <w:p w:rsidR="00F533AC" w:rsidRDefault="00750627" w:rsidP="00F533AC">
      <w:pPr>
        <w:pStyle w:val="NoSpacing"/>
        <w:numPr>
          <w:ilvl w:val="0"/>
          <w:numId w:val="18"/>
        </w:numPr>
        <w:jc w:val="both"/>
      </w:pPr>
      <w:r>
        <w:t>C</w:t>
      </w:r>
      <w:r w:rsidRPr="00B27B53">
        <w:t>apital market bond investors</w:t>
      </w:r>
      <w:r>
        <w:t xml:space="preserve"> either over the counter or through electronic trading platforms</w:t>
      </w:r>
    </w:p>
    <w:p w:rsidR="00F533AC" w:rsidRDefault="00057DFB" w:rsidP="00F533AC">
      <w:pPr>
        <w:pStyle w:val="NoSpacing"/>
      </w:pPr>
    </w:p>
    <w:p w:rsidR="00F533AC" w:rsidRPr="00240DD0" w:rsidRDefault="00750627" w:rsidP="00F533AC">
      <w:pPr>
        <w:rPr>
          <w:b/>
          <w:i/>
        </w:rPr>
      </w:pPr>
      <w:r w:rsidRPr="00240DD0">
        <w:rPr>
          <w:b/>
          <w:i/>
        </w:rPr>
        <w:t>Borrowing Instruments</w:t>
      </w:r>
    </w:p>
    <w:p w:rsidR="00F533AC" w:rsidRDefault="00057DFB" w:rsidP="00F533AC">
      <w:pPr>
        <w:jc w:val="both"/>
      </w:pPr>
    </w:p>
    <w:p w:rsidR="00F533AC" w:rsidRDefault="00750627" w:rsidP="00F533AC">
      <w:pPr>
        <w:jc w:val="both"/>
      </w:pPr>
      <w:r w:rsidRPr="00D465F9">
        <w:t xml:space="preserve">The </w:t>
      </w:r>
      <w:r>
        <w:t>council</w:t>
      </w:r>
      <w:r w:rsidRPr="00D465F9">
        <w:t xml:space="preserve"> may only borrow money by use of the following instruments:</w:t>
      </w:r>
    </w:p>
    <w:p w:rsidR="00F533AC" w:rsidRPr="00D465F9" w:rsidRDefault="00057DFB" w:rsidP="00F533AC">
      <w:pPr>
        <w:ind w:left="360"/>
        <w:jc w:val="both"/>
      </w:pPr>
    </w:p>
    <w:p w:rsidR="00F533AC" w:rsidRPr="00D465F9" w:rsidRDefault="00750627" w:rsidP="00F533AC">
      <w:pPr>
        <w:pStyle w:val="ListParagraph"/>
        <w:numPr>
          <w:ilvl w:val="0"/>
          <w:numId w:val="15"/>
        </w:numPr>
        <w:tabs>
          <w:tab w:val="left" w:pos="567"/>
        </w:tabs>
        <w:ind w:left="567" w:hanging="283"/>
        <w:jc w:val="both"/>
      </w:pPr>
      <w:r>
        <w:t>B</w:t>
      </w:r>
      <w:r w:rsidRPr="00D465F9">
        <w:t>ank overdrafts</w:t>
      </w:r>
      <w:r>
        <w:t>.</w:t>
      </w:r>
    </w:p>
    <w:p w:rsidR="00F533AC" w:rsidRPr="00D465F9" w:rsidRDefault="00750627" w:rsidP="00F533AC">
      <w:pPr>
        <w:pStyle w:val="ListParagraph"/>
        <w:numPr>
          <w:ilvl w:val="0"/>
          <w:numId w:val="15"/>
        </w:numPr>
        <w:tabs>
          <w:tab w:val="left" w:pos="567"/>
        </w:tabs>
        <w:ind w:left="567" w:hanging="283"/>
        <w:jc w:val="both"/>
      </w:pPr>
      <w:r>
        <w:t>F</w:t>
      </w:r>
      <w:r w:rsidRPr="00D465F9">
        <w:t>ixed term loans</w:t>
      </w:r>
      <w:r>
        <w:t>.</w:t>
      </w:r>
    </w:p>
    <w:p w:rsidR="00F533AC" w:rsidRPr="00D465F9" w:rsidRDefault="00750627" w:rsidP="00F533AC">
      <w:pPr>
        <w:pStyle w:val="ListParagraph"/>
        <w:numPr>
          <w:ilvl w:val="0"/>
          <w:numId w:val="15"/>
        </w:numPr>
        <w:tabs>
          <w:tab w:val="left" w:pos="567"/>
        </w:tabs>
        <w:ind w:left="567" w:hanging="283"/>
        <w:jc w:val="both"/>
      </w:pPr>
      <w:r>
        <w:t>C</w:t>
      </w:r>
      <w:r w:rsidRPr="00D465F9">
        <w:t xml:space="preserve">allable loans or revolving credit facilities where the </w:t>
      </w:r>
      <w:r>
        <w:t>council</w:t>
      </w:r>
      <w:r w:rsidRPr="00D465F9">
        <w:t xml:space="preserve"> may repay at any time (with or without notice)</w:t>
      </w:r>
      <w:r>
        <w:t>.</w:t>
      </w:r>
    </w:p>
    <w:p w:rsidR="00F533AC" w:rsidRPr="00D465F9" w:rsidRDefault="00750627" w:rsidP="00F533AC">
      <w:pPr>
        <w:pStyle w:val="ListParagraph"/>
        <w:numPr>
          <w:ilvl w:val="0"/>
          <w:numId w:val="15"/>
        </w:numPr>
        <w:tabs>
          <w:tab w:val="left" w:pos="567"/>
        </w:tabs>
        <w:ind w:left="567" w:hanging="283"/>
        <w:jc w:val="both"/>
      </w:pPr>
      <w:r>
        <w:lastRenderedPageBreak/>
        <w:t>C</w:t>
      </w:r>
      <w:r w:rsidRPr="00D465F9">
        <w:t>allable loans where the lender may repay at any time, but subject to a maximum of £150m in total</w:t>
      </w:r>
      <w:r>
        <w:t>.</w:t>
      </w:r>
    </w:p>
    <w:p w:rsidR="00F533AC" w:rsidRPr="00D465F9" w:rsidRDefault="00750627" w:rsidP="00F533AC">
      <w:pPr>
        <w:pStyle w:val="ListParagraph"/>
        <w:numPr>
          <w:ilvl w:val="0"/>
          <w:numId w:val="15"/>
        </w:numPr>
        <w:tabs>
          <w:tab w:val="left" w:pos="567"/>
        </w:tabs>
        <w:ind w:left="567" w:hanging="283"/>
        <w:jc w:val="both"/>
      </w:pPr>
      <w:r>
        <w:t>L</w:t>
      </w:r>
      <w:r w:rsidRPr="00D465F9">
        <w:t>ender’s option borrower’s option (LOBO) loans, but subject to a maximum of £</w:t>
      </w:r>
      <w:r>
        <w:t>100</w:t>
      </w:r>
      <w:r w:rsidRPr="00D465F9">
        <w:t>m in total</w:t>
      </w:r>
      <w:r>
        <w:t>.</w:t>
      </w:r>
    </w:p>
    <w:p w:rsidR="00F533AC" w:rsidRPr="00D465F9" w:rsidRDefault="00750627" w:rsidP="00F533AC">
      <w:pPr>
        <w:pStyle w:val="ListParagraph"/>
        <w:numPr>
          <w:ilvl w:val="0"/>
          <w:numId w:val="15"/>
        </w:numPr>
        <w:tabs>
          <w:tab w:val="left" w:pos="567"/>
        </w:tabs>
        <w:ind w:left="567" w:hanging="283"/>
        <w:jc w:val="both"/>
      </w:pPr>
      <w:r>
        <w:t>B</w:t>
      </w:r>
      <w:r w:rsidRPr="00D465F9">
        <w:t>onds, notes, bills, commercial paper and other marketable instruments</w:t>
      </w:r>
      <w:r>
        <w:t>.</w:t>
      </w:r>
    </w:p>
    <w:p w:rsidR="00F533AC" w:rsidRPr="00D465F9" w:rsidRDefault="00750627" w:rsidP="00F533AC">
      <w:pPr>
        <w:pStyle w:val="ListParagraph"/>
        <w:numPr>
          <w:ilvl w:val="0"/>
          <w:numId w:val="15"/>
        </w:numPr>
        <w:tabs>
          <w:tab w:val="left" w:pos="567"/>
        </w:tabs>
        <w:ind w:left="567" w:hanging="283"/>
        <w:jc w:val="both"/>
      </w:pPr>
      <w:r>
        <w:t>S</w:t>
      </w:r>
      <w:r w:rsidRPr="00D465F9">
        <w:t>ale and repurchase (repo) agreements</w:t>
      </w:r>
      <w:r>
        <w:t>.</w:t>
      </w:r>
    </w:p>
    <w:p w:rsidR="00F533AC" w:rsidRPr="00D465F9" w:rsidRDefault="00057DFB" w:rsidP="00F533AC"/>
    <w:p w:rsidR="00F533AC" w:rsidRPr="00D465F9" w:rsidRDefault="00750627" w:rsidP="00F533AC">
      <w:pPr>
        <w:jc w:val="both"/>
      </w:pPr>
      <w:r w:rsidRPr="00D465F9">
        <w:t>Loans may be borrowed at either a fixed rate of interest, or at a variable rate linked to a market interest rate, such as LIBOR, subject to the limits on interest rate risk approved in</w:t>
      </w:r>
      <w:r>
        <w:t xml:space="preserve"> this</w:t>
      </w:r>
      <w:r w:rsidRPr="00D465F9">
        <w:t xml:space="preserve"> </w:t>
      </w:r>
      <w:r w:rsidRPr="00240DD0">
        <w:t>Treasury Management Strategy</w:t>
      </w:r>
      <w:r w:rsidRPr="00890033">
        <w:t>.</w:t>
      </w:r>
    </w:p>
    <w:p w:rsidR="00F533AC" w:rsidRDefault="00057DFB" w:rsidP="00F533AC">
      <w:pPr>
        <w:rPr>
          <w:bCs/>
          <w:i/>
        </w:rPr>
      </w:pPr>
    </w:p>
    <w:p w:rsidR="00F533AC" w:rsidRDefault="00750627" w:rsidP="00F533AC">
      <w:pPr>
        <w:rPr>
          <w:b/>
          <w:bCs/>
          <w:i/>
        </w:rPr>
      </w:pPr>
      <w:r w:rsidRPr="00240DD0">
        <w:rPr>
          <w:b/>
          <w:bCs/>
          <w:i/>
        </w:rPr>
        <w:t>Debt Restructuring</w:t>
      </w:r>
    </w:p>
    <w:p w:rsidR="00F533AC" w:rsidRDefault="00057DFB" w:rsidP="00F533AC">
      <w:pPr>
        <w:jc w:val="both"/>
      </w:pPr>
    </w:p>
    <w:p w:rsidR="00F533AC" w:rsidRDefault="00750627" w:rsidP="00F533AC">
      <w:pPr>
        <w:jc w:val="both"/>
      </w:pPr>
      <w:r w:rsidRPr="00932EE8">
        <w:t xml:space="preserve">The </w:t>
      </w:r>
      <w:r>
        <w:t>council</w:t>
      </w:r>
      <w:r w:rsidRPr="00932EE8">
        <w:t xml:space="preserve"> </w:t>
      </w:r>
      <w:r>
        <w:t>regularly</w:t>
      </w:r>
      <w:r w:rsidRPr="00932EE8">
        <w:t xml:space="preserve"> monitors both its debt portfolio and market conditions to evaluate potential savings from debt restructuring. </w:t>
      </w:r>
    </w:p>
    <w:p w:rsidR="00F533AC" w:rsidRDefault="00057DFB" w:rsidP="00F533AC">
      <w:pPr>
        <w:jc w:val="both"/>
      </w:pPr>
    </w:p>
    <w:p w:rsidR="00F533AC" w:rsidRPr="00240DD0" w:rsidRDefault="00750627" w:rsidP="00F533AC">
      <w:pPr>
        <w:jc w:val="both"/>
        <w:rPr>
          <w:b/>
          <w:i/>
        </w:rPr>
      </w:pPr>
      <w:r w:rsidRPr="00240DD0">
        <w:rPr>
          <w:b/>
          <w:i/>
        </w:rPr>
        <w:t>Other borrowing</w:t>
      </w:r>
    </w:p>
    <w:p w:rsidR="00F533AC" w:rsidRDefault="00057DFB" w:rsidP="00F533AC">
      <w:pPr>
        <w:jc w:val="both"/>
      </w:pPr>
    </w:p>
    <w:p w:rsidR="00F533AC" w:rsidRDefault="00750627" w:rsidP="00F533AC">
      <w:pPr>
        <w:jc w:val="both"/>
      </w:pPr>
      <w:r>
        <w:t>T</w:t>
      </w:r>
      <w:r w:rsidRPr="008E2A12">
        <w:t xml:space="preserve">he </w:t>
      </w:r>
      <w:r>
        <w:t>county c</w:t>
      </w:r>
      <w:r w:rsidRPr="008E2A12">
        <w:t>ouncil may borrow for short periods of time to cover unexpected cash flow shortages</w:t>
      </w:r>
      <w:r>
        <w:t xml:space="preserve"> and to take deposits on the shared investment scheme. Also </w:t>
      </w:r>
      <w:r w:rsidRPr="008E2A12">
        <w:t xml:space="preserve">to provide cash flow support for the Preston, South </w:t>
      </w:r>
      <w:proofErr w:type="spellStart"/>
      <w:r w:rsidRPr="008E2A12">
        <w:t>Ribble</w:t>
      </w:r>
      <w:proofErr w:type="spellEnd"/>
      <w:r w:rsidRPr="008E2A12">
        <w:t xml:space="preserve"> and Lancashire City Deal project. This is to cover the gap between the </w:t>
      </w:r>
      <w:r>
        <w:t xml:space="preserve">cost of </w:t>
      </w:r>
      <w:r w:rsidRPr="008E2A12">
        <w:t xml:space="preserve">construction of infrastructure and the payment of contributions from other organisations including the </w:t>
      </w:r>
      <w:r>
        <w:t>g</w:t>
      </w:r>
      <w:r w:rsidRPr="008E2A12">
        <w:t xml:space="preserve">overnment and developers. </w:t>
      </w:r>
      <w:r>
        <w:t>This borrowing is temporary but will be reflected within the Prudential Limits at Annex 'A'.</w:t>
      </w:r>
    </w:p>
    <w:p w:rsidR="00F533AC" w:rsidRPr="00932EE8" w:rsidRDefault="00057DFB" w:rsidP="00F533AC">
      <w:pPr>
        <w:jc w:val="both"/>
      </w:pPr>
    </w:p>
    <w:p w:rsidR="00F533AC" w:rsidRPr="00240DD0" w:rsidRDefault="00750627" w:rsidP="00F533AC">
      <w:pPr>
        <w:rPr>
          <w:b/>
          <w:bCs/>
          <w:sz w:val="28"/>
          <w:szCs w:val="28"/>
        </w:rPr>
      </w:pPr>
      <w:r w:rsidRPr="00240DD0">
        <w:rPr>
          <w:b/>
          <w:bCs/>
          <w:sz w:val="28"/>
          <w:szCs w:val="28"/>
        </w:rPr>
        <w:t>Policy on Borrowing in Advance of Need</w:t>
      </w:r>
    </w:p>
    <w:p w:rsidR="00F533AC" w:rsidRPr="00932EE8" w:rsidRDefault="00057DFB" w:rsidP="00F533AC">
      <w:pPr>
        <w:rPr>
          <w:b/>
          <w:bCs/>
        </w:rPr>
      </w:pPr>
    </w:p>
    <w:p w:rsidR="00F533AC" w:rsidRDefault="00750627" w:rsidP="00F533AC">
      <w:pPr>
        <w:jc w:val="both"/>
      </w:pPr>
      <w:r w:rsidRPr="00932EE8">
        <w:t xml:space="preserve">The </w:t>
      </w:r>
      <w:r>
        <w:t>council</w:t>
      </w:r>
      <w:r w:rsidRPr="00932EE8">
        <w:t xml:space="preserve"> will not borrow more than or in advance of need with the objective of profiting from the investment of the additional sums borrowed. However, borrowing in advance of need</w:t>
      </w:r>
      <w:r>
        <w:t xml:space="preserve"> is appropriate </w:t>
      </w:r>
      <w:r w:rsidRPr="00932EE8">
        <w:t>in the following circumstances:</w:t>
      </w:r>
    </w:p>
    <w:p w:rsidR="00F533AC" w:rsidRPr="00932EE8" w:rsidRDefault="00057DFB" w:rsidP="00F533AC">
      <w:pPr>
        <w:jc w:val="both"/>
      </w:pPr>
    </w:p>
    <w:p w:rsidR="00F533AC" w:rsidRPr="00932EE8" w:rsidRDefault="00750627" w:rsidP="00F533AC">
      <w:pPr>
        <w:pStyle w:val="ListParagraph"/>
        <w:numPr>
          <w:ilvl w:val="0"/>
          <w:numId w:val="5"/>
        </w:numPr>
        <w:jc w:val="both"/>
      </w:pPr>
      <w:r w:rsidRPr="00932EE8">
        <w:t>Where there is a defined need to finance future capital investment that will materialise in a defined timescale of 2 years or less; and</w:t>
      </w:r>
    </w:p>
    <w:p w:rsidR="00F533AC" w:rsidRPr="00BE3CE5" w:rsidRDefault="00750627" w:rsidP="00F533AC">
      <w:pPr>
        <w:pStyle w:val="ListParagraph"/>
        <w:numPr>
          <w:ilvl w:val="0"/>
          <w:numId w:val="5"/>
        </w:numPr>
        <w:jc w:val="both"/>
      </w:pPr>
      <w:r w:rsidRPr="00BE3CE5">
        <w:t xml:space="preserve">Where the most advantageous method of raising capital finance requires the </w:t>
      </w:r>
      <w:r>
        <w:t>council</w:t>
      </w:r>
      <w:r w:rsidRPr="00BE3CE5">
        <w:t xml:space="preserve"> to raise funds in a quantity greater than would be required in any one year, or</w:t>
      </w:r>
    </w:p>
    <w:p w:rsidR="00F533AC" w:rsidRPr="00932EE8" w:rsidRDefault="00750627" w:rsidP="00F533AC">
      <w:pPr>
        <w:pStyle w:val="ListParagraph"/>
        <w:numPr>
          <w:ilvl w:val="0"/>
          <w:numId w:val="5"/>
        </w:numPr>
        <w:jc w:val="both"/>
      </w:pPr>
      <w:r w:rsidRPr="00932EE8">
        <w:t xml:space="preserve">Where in the view of the </w:t>
      </w:r>
      <w:r>
        <w:t>section 151 officer</w:t>
      </w:r>
      <w:r w:rsidRPr="00932EE8">
        <w:t>, based on external advice, the achievement of value for money would be prejudiced by delaying borrowing beyond the 2 year horizon.</w:t>
      </w:r>
    </w:p>
    <w:p w:rsidR="00F533AC" w:rsidRDefault="00057DFB" w:rsidP="00F533AC">
      <w:pPr>
        <w:pStyle w:val="ListParagraph"/>
        <w:jc w:val="both"/>
      </w:pPr>
    </w:p>
    <w:p w:rsidR="00F533AC" w:rsidRPr="00932EE8" w:rsidRDefault="00750627" w:rsidP="00F533AC">
      <w:pPr>
        <w:spacing w:after="240"/>
        <w:jc w:val="both"/>
      </w:pPr>
      <w:r w:rsidRPr="00932EE8">
        <w:t xml:space="preserve">Having satisfied </w:t>
      </w:r>
      <w:r>
        <w:t xml:space="preserve">any of </w:t>
      </w:r>
      <w:r w:rsidRPr="00932EE8">
        <w:t>these criteria</w:t>
      </w:r>
      <w:r>
        <w:t>,</w:t>
      </w:r>
      <w:r w:rsidRPr="00932EE8">
        <w:t xml:space="preserve"> any proposal to borrow in advance of need would be reviewed against the following factors:</w:t>
      </w:r>
    </w:p>
    <w:p w:rsidR="00F533AC" w:rsidRPr="00932EE8" w:rsidRDefault="00750627" w:rsidP="00F533AC">
      <w:pPr>
        <w:numPr>
          <w:ilvl w:val="0"/>
          <w:numId w:val="6"/>
        </w:numPr>
        <w:jc w:val="both"/>
      </w:pPr>
      <w:r w:rsidRPr="00932EE8">
        <w:t>Whether the ongoing revenue liabilities created, and the implications for the future plans and budgets have been considered and reflected in those plans and budgets</w:t>
      </w:r>
      <w:r>
        <w:t xml:space="preserve"> </w:t>
      </w:r>
      <w:r>
        <w:tab/>
        <w:t>with</w:t>
      </w:r>
      <w:r w:rsidRPr="00932EE8">
        <w:t xml:space="preserve"> the value for money of the proposal fully evaluated.</w:t>
      </w:r>
    </w:p>
    <w:p w:rsidR="00F533AC" w:rsidRPr="00932EE8" w:rsidRDefault="00750627" w:rsidP="00F533AC">
      <w:pPr>
        <w:numPr>
          <w:ilvl w:val="0"/>
          <w:numId w:val="6"/>
        </w:numPr>
      </w:pPr>
      <w:r w:rsidRPr="00932EE8">
        <w:t>The merits and demerits of alternative forms of funding.</w:t>
      </w:r>
    </w:p>
    <w:p w:rsidR="00F533AC" w:rsidRPr="00354B3D" w:rsidRDefault="00750627" w:rsidP="003D4F60">
      <w:pPr>
        <w:numPr>
          <w:ilvl w:val="0"/>
          <w:numId w:val="6"/>
        </w:numPr>
        <w:tabs>
          <w:tab w:val="left" w:pos="1418"/>
        </w:tabs>
        <w:jc w:val="both"/>
        <w:rPr>
          <w:b/>
          <w:bCs/>
        </w:rPr>
      </w:pPr>
      <w:r w:rsidRPr="00932EE8">
        <w:t>The alternative interest rate bases available, the most appropriate periods over which to fund and repayment profiles to use.</w:t>
      </w:r>
    </w:p>
    <w:p w:rsidR="00F533AC" w:rsidRPr="00932EE8" w:rsidRDefault="00057DFB" w:rsidP="00F533AC">
      <w:pPr>
        <w:tabs>
          <w:tab w:val="left" w:pos="1418"/>
        </w:tabs>
        <w:ind w:left="720"/>
        <w:rPr>
          <w:b/>
          <w:bCs/>
        </w:rPr>
      </w:pPr>
    </w:p>
    <w:p w:rsidR="00F533AC" w:rsidRPr="00D635B5" w:rsidRDefault="00750627" w:rsidP="00F533AC">
      <w:pPr>
        <w:spacing w:after="240"/>
        <w:jc w:val="both"/>
      </w:pPr>
      <w:r w:rsidRPr="00932EE8">
        <w:t>All decisions will be documented reflecting the assessment of these circumstances and criteria.</w:t>
      </w:r>
    </w:p>
    <w:p w:rsidR="00F533AC" w:rsidRDefault="00750627">
      <w:pPr>
        <w:jc w:val="both"/>
        <w:rPr>
          <w:b/>
          <w:bCs/>
          <w:sz w:val="28"/>
          <w:szCs w:val="28"/>
        </w:rPr>
      </w:pPr>
      <w:r w:rsidRPr="005B6D3E">
        <w:rPr>
          <w:b/>
          <w:bCs/>
          <w:sz w:val="28"/>
          <w:szCs w:val="28"/>
        </w:rPr>
        <w:t>Investment Strategy</w:t>
      </w:r>
    </w:p>
    <w:p w:rsidR="00F533AC" w:rsidRPr="00354B3D" w:rsidRDefault="00057DFB">
      <w:pPr>
        <w:jc w:val="both"/>
        <w:rPr>
          <w:b/>
          <w:bCs/>
        </w:rPr>
      </w:pPr>
    </w:p>
    <w:p w:rsidR="00F533AC" w:rsidRDefault="00750627" w:rsidP="00F533AC">
      <w:pPr>
        <w:spacing w:before="45" w:after="45"/>
        <w:jc w:val="both"/>
      </w:pPr>
      <w:r>
        <w:t xml:space="preserve">The council </w:t>
      </w:r>
      <w:r w:rsidRPr="00BF705E">
        <w:t>holds</w:t>
      </w:r>
      <w:r>
        <w:t xml:space="preserve"> </w:t>
      </w:r>
      <w:r w:rsidRPr="00F0114F">
        <w:t xml:space="preserve">reserves and other cash items </w:t>
      </w:r>
      <w:r>
        <w:t>on</w:t>
      </w:r>
      <w:r w:rsidRPr="00F0114F">
        <w:t xml:space="preserve"> its balance sheet</w:t>
      </w:r>
      <w:r>
        <w:t xml:space="preserve"> which are invested. In investing these cash balances the council follows guidance issued by CIPFA and DCLG which both require the priorities to be the: </w:t>
      </w:r>
      <w:r w:rsidRPr="00F0114F">
        <w:t>Security of capital and Liquidity of investments</w:t>
      </w:r>
      <w:r>
        <w:t>.</w:t>
      </w:r>
    </w:p>
    <w:p w:rsidR="00F533AC" w:rsidRPr="00F0114F" w:rsidRDefault="00057DFB" w:rsidP="00F533AC">
      <w:pPr>
        <w:spacing w:before="45" w:after="45"/>
        <w:jc w:val="both"/>
      </w:pPr>
    </w:p>
    <w:p w:rsidR="00F533AC" w:rsidRDefault="00750627" w:rsidP="00F533AC">
      <w:pPr>
        <w:spacing w:after="240"/>
        <w:jc w:val="both"/>
      </w:pPr>
      <w:r w:rsidRPr="00F0114F">
        <w:t xml:space="preserve">The </w:t>
      </w:r>
      <w:r>
        <w:t>council</w:t>
      </w:r>
      <w:r w:rsidRPr="00F0114F">
        <w:t xml:space="preserve"> will also aim to achieve the optimum return on its investments commensurate with proper levels of security and liquidity. The risk appetite of the </w:t>
      </w:r>
      <w:r>
        <w:t>council</w:t>
      </w:r>
      <w:r w:rsidRPr="00F0114F">
        <w:t xml:space="preserve"> is low in order to give priority to security of its investments.</w:t>
      </w:r>
    </w:p>
    <w:p w:rsidR="00F533AC" w:rsidRPr="00E509DE" w:rsidRDefault="00750627" w:rsidP="00F533AC">
      <w:pPr>
        <w:jc w:val="both"/>
        <w:rPr>
          <w:i/>
        </w:rPr>
      </w:pPr>
      <w:r w:rsidRPr="00354B3D">
        <w:rPr>
          <w:b/>
          <w:i/>
        </w:rPr>
        <w:t>Approved Counterparties</w:t>
      </w:r>
    </w:p>
    <w:p w:rsidR="00F533AC" w:rsidRDefault="00057DFB">
      <w:pPr>
        <w:jc w:val="both"/>
      </w:pPr>
    </w:p>
    <w:p w:rsidR="00F533AC" w:rsidRDefault="00750627">
      <w:pPr>
        <w:jc w:val="both"/>
      </w:pPr>
      <w:r w:rsidRPr="00F0114F">
        <w:t>The counterparty credit matrix is at the heart of</w:t>
      </w:r>
      <w:r>
        <w:t xml:space="preserve"> the council</w:t>
      </w:r>
      <w:r w:rsidRPr="00F0114F">
        <w:t>'s Treasury Management Strategy and has always been conservatively constructed to protect th</w:t>
      </w:r>
      <w:r>
        <w:t>e council</w:t>
      </w:r>
      <w:r w:rsidRPr="00F0114F">
        <w:t xml:space="preserve"> against credit risk whilst allowing for efficient and prudent investment activity. </w:t>
      </w:r>
    </w:p>
    <w:p w:rsidR="00F533AC" w:rsidRDefault="00057DFB" w:rsidP="00F533AC">
      <w:pPr>
        <w:jc w:val="both"/>
      </w:pPr>
    </w:p>
    <w:p w:rsidR="00F533AC" w:rsidRDefault="00750627" w:rsidP="00F533AC">
      <w:pPr>
        <w:jc w:val="both"/>
        <w:rPr>
          <w:b/>
        </w:rPr>
      </w:pPr>
      <w:r>
        <w:t xml:space="preserve">However, the council does not rely solely on credit ratings in assessing counterparties. Other market information is also monitored such as information from the </w:t>
      </w:r>
      <w:r w:rsidRPr="00F0114F">
        <w:t>credit default swap (CDS) market</w:t>
      </w:r>
      <w:r>
        <w:t xml:space="preserve"> and any press releases in general. In this way ensuring the c</w:t>
      </w:r>
      <w:r w:rsidRPr="00F0114F">
        <w:t>ouncil transacts with only the highest quality counterparties</w:t>
      </w:r>
      <w:r w:rsidRPr="00F0114F">
        <w:rPr>
          <w:b/>
        </w:rPr>
        <w:t xml:space="preserve">.  </w:t>
      </w:r>
    </w:p>
    <w:p w:rsidR="00F533AC" w:rsidRDefault="00057DFB" w:rsidP="00F533AC">
      <w:pPr>
        <w:jc w:val="both"/>
        <w:rPr>
          <w:b/>
        </w:rPr>
      </w:pPr>
    </w:p>
    <w:p w:rsidR="00F533AC" w:rsidRDefault="00750627" w:rsidP="00F533AC">
      <w:pPr>
        <w:jc w:val="both"/>
      </w:pPr>
      <w:r w:rsidRPr="00F861B8">
        <w:t xml:space="preserve">The </w:t>
      </w:r>
      <w:r>
        <w:t>c</w:t>
      </w:r>
      <w:r w:rsidRPr="00F861B8">
        <w:t xml:space="preserve">ouncil requires very high credit ratings for an organisation to be considered a suitable counterparty for investment purposes. Despite a number of downgrades within the financial sector the </w:t>
      </w:r>
      <w:r>
        <w:t>c</w:t>
      </w:r>
      <w:r w:rsidRPr="00F861B8">
        <w:t xml:space="preserve">ouncil has not reduced the credit ratings required </w:t>
      </w:r>
      <w:r>
        <w:t>from</w:t>
      </w:r>
      <w:r w:rsidRPr="00F861B8">
        <w:t xml:space="preserve"> its counterparties, but has maintained the existing very high ratings required for short, medium and long term investments.</w:t>
      </w:r>
      <w:r w:rsidRPr="006B5382">
        <w:t xml:space="preserve"> </w:t>
      </w:r>
      <w:r w:rsidRPr="00F861B8">
        <w:t xml:space="preserve">These are set out </w:t>
      </w:r>
      <w:r>
        <w:t>as follows</w:t>
      </w:r>
      <w:r w:rsidRPr="00F861B8">
        <w:t>:</w:t>
      </w:r>
    </w:p>
    <w:p w:rsidR="00F533AC" w:rsidRPr="00F861B8" w:rsidRDefault="00057DFB" w:rsidP="00F533AC">
      <w:pPr>
        <w:jc w:val="both"/>
      </w:pPr>
    </w:p>
    <w:p w:rsidR="00F533AC" w:rsidRPr="00F0114F" w:rsidRDefault="00750627" w:rsidP="00F533AC">
      <w:pPr>
        <w:jc w:val="both"/>
      </w:pPr>
      <w:r w:rsidRPr="00905AA6">
        <w:t>For short term lending of up to 1 year</w:t>
      </w:r>
      <w:r>
        <w:t>,</w:t>
      </w:r>
      <w:r w:rsidRPr="00F0114F">
        <w:t xml:space="preserve"> the short term ratings from the ratings agencies be used and that a counterparty must have a minimum of the following:</w:t>
      </w:r>
    </w:p>
    <w:p w:rsidR="00F533AC" w:rsidRPr="00F0114F" w:rsidRDefault="00057DFB" w:rsidP="00F533AC">
      <w:pPr>
        <w:ind w:firstLine="720"/>
        <w:jc w:val="both"/>
      </w:pPr>
    </w:p>
    <w:p w:rsidR="00F533AC" w:rsidRPr="00F0114F" w:rsidRDefault="00750627" w:rsidP="00F533AC">
      <w:pPr>
        <w:jc w:val="both"/>
      </w:pPr>
      <w:r w:rsidRPr="00F0114F">
        <w:t>Moody's</w:t>
      </w:r>
      <w:r>
        <w:tab/>
      </w:r>
      <w:r w:rsidRPr="00F0114F">
        <w:t>P1</w:t>
      </w:r>
    </w:p>
    <w:p w:rsidR="00F533AC" w:rsidRPr="00F0114F" w:rsidRDefault="00750627" w:rsidP="00F533AC">
      <w:pPr>
        <w:jc w:val="both"/>
      </w:pPr>
      <w:r w:rsidRPr="00F0114F">
        <w:t>S&amp;P</w:t>
      </w:r>
      <w:r>
        <w:tab/>
      </w:r>
      <w:r>
        <w:tab/>
      </w:r>
      <w:r w:rsidRPr="00F0114F">
        <w:t>A1</w:t>
      </w:r>
    </w:p>
    <w:p w:rsidR="00F533AC" w:rsidRDefault="00750627" w:rsidP="00F533AC">
      <w:pPr>
        <w:jc w:val="both"/>
      </w:pPr>
      <w:r w:rsidRPr="00F0114F">
        <w:t>Fitch</w:t>
      </w:r>
      <w:r>
        <w:tab/>
      </w:r>
      <w:r>
        <w:tab/>
      </w:r>
      <w:r w:rsidRPr="00F0114F">
        <w:t>F1</w:t>
      </w:r>
    </w:p>
    <w:p w:rsidR="00F533AC" w:rsidRPr="00F0114F" w:rsidRDefault="00057DFB" w:rsidP="00F533AC">
      <w:pPr>
        <w:ind w:firstLine="720"/>
        <w:jc w:val="both"/>
      </w:pPr>
    </w:p>
    <w:p w:rsidR="00F533AC" w:rsidRDefault="00750627" w:rsidP="00F533AC">
      <w:pPr>
        <w:jc w:val="both"/>
        <w:rPr>
          <w:b/>
          <w:u w:val="single"/>
        </w:rPr>
      </w:pPr>
      <w:r w:rsidRPr="00F0114F">
        <w:t>Short term ratings were specifically created by the agencies for money market investors as they reflect specifically the liquidity positions of the institutions concerned.</w:t>
      </w:r>
    </w:p>
    <w:p w:rsidR="00F533AC" w:rsidRDefault="00057DFB" w:rsidP="00F533AC">
      <w:pPr>
        <w:jc w:val="both"/>
      </w:pPr>
    </w:p>
    <w:p w:rsidR="00F533AC" w:rsidRDefault="00750627" w:rsidP="00F533AC">
      <w:pPr>
        <w:jc w:val="both"/>
      </w:pPr>
      <w:r w:rsidRPr="00905AA6">
        <w:t>For medium term investments</w:t>
      </w:r>
      <w:r w:rsidRPr="00F0114F">
        <w:t xml:space="preserve"> in the form of tradeable bonds or certificates of deposit (1</w:t>
      </w:r>
      <w:r>
        <w:t xml:space="preserve"> </w:t>
      </w:r>
      <w:r w:rsidRPr="00F0114F">
        <w:t>to 5</w:t>
      </w:r>
      <w:r>
        <w:t xml:space="preserve"> </w:t>
      </w:r>
      <w:r w:rsidRPr="00F0114F">
        <w:t>y</w:t>
      </w:r>
      <w:r>
        <w:t>ea</w:t>
      </w:r>
      <w:r w:rsidRPr="00F0114F">
        <w:t>rs, where immediate liquidation can be demonstrated), a blended average of the ratings</w:t>
      </w:r>
      <w:r>
        <w:t xml:space="preserve"> will</w:t>
      </w:r>
      <w:r w:rsidRPr="00F0114F">
        <w:t xml:space="preserve"> be taken (averaging  across all available ratings), with a minimum of:</w:t>
      </w:r>
    </w:p>
    <w:p w:rsidR="00F533AC" w:rsidRPr="00F0114F" w:rsidRDefault="00057DFB" w:rsidP="00F533AC">
      <w:pPr>
        <w:jc w:val="both"/>
      </w:pPr>
    </w:p>
    <w:p w:rsidR="00F533AC" w:rsidRPr="00F0114F" w:rsidRDefault="00750627" w:rsidP="00F533AC">
      <w:pPr>
        <w:jc w:val="both"/>
      </w:pPr>
      <w:r w:rsidRPr="00F0114F">
        <w:t xml:space="preserve">Long term </w:t>
      </w:r>
      <w:r>
        <w:tab/>
      </w:r>
      <w:r w:rsidRPr="00F0114F">
        <w:t xml:space="preserve">AA3/AA-, </w:t>
      </w:r>
    </w:p>
    <w:p w:rsidR="00F533AC" w:rsidRPr="00F0114F" w:rsidRDefault="00750627" w:rsidP="00F533AC">
      <w:pPr>
        <w:jc w:val="both"/>
      </w:pPr>
      <w:r w:rsidRPr="00F0114F">
        <w:t xml:space="preserve">Short term </w:t>
      </w:r>
      <w:r>
        <w:tab/>
      </w:r>
      <w:r w:rsidRPr="00F0114F">
        <w:t xml:space="preserve">P1/F1+/A1+ </w:t>
      </w:r>
    </w:p>
    <w:p w:rsidR="00F533AC" w:rsidRPr="00F0114F" w:rsidRDefault="00750627" w:rsidP="00F533AC">
      <w:pPr>
        <w:jc w:val="both"/>
      </w:pPr>
      <w:r w:rsidRPr="00905AA6">
        <w:lastRenderedPageBreak/>
        <w:t>For longer term investments (5</w:t>
      </w:r>
      <w:r>
        <w:t xml:space="preserve"> </w:t>
      </w:r>
      <w:r w:rsidRPr="00905AA6">
        <w:t>y</w:t>
      </w:r>
      <w:r>
        <w:t>ea</w:t>
      </w:r>
      <w:r w:rsidRPr="00905AA6">
        <w:t>rs and above)</w:t>
      </w:r>
      <w:r w:rsidRPr="00F0114F">
        <w:t xml:space="preserve"> in the form of tradeable bonds where immediate liquidation can be demonstrated, a blended average of the ratings</w:t>
      </w:r>
      <w:r>
        <w:t xml:space="preserve"> will</w:t>
      </w:r>
      <w:r w:rsidRPr="00F0114F">
        <w:t xml:space="preserve"> be taken, with a minimum of:</w:t>
      </w:r>
    </w:p>
    <w:p w:rsidR="00F533AC" w:rsidRDefault="00057DFB" w:rsidP="00F533AC">
      <w:pPr>
        <w:ind w:left="1418" w:hanging="1418"/>
        <w:jc w:val="both"/>
      </w:pPr>
    </w:p>
    <w:p w:rsidR="00F533AC" w:rsidRPr="00F0114F" w:rsidRDefault="00750627" w:rsidP="00F533AC">
      <w:pPr>
        <w:ind w:left="1418" w:hanging="1418"/>
        <w:jc w:val="both"/>
      </w:pPr>
      <w:r w:rsidRPr="00F0114F">
        <w:t xml:space="preserve">Long term </w:t>
      </w:r>
      <w:r>
        <w:tab/>
      </w:r>
      <w:r w:rsidRPr="00F0114F">
        <w:t>AA2/AA</w:t>
      </w:r>
    </w:p>
    <w:p w:rsidR="00F533AC" w:rsidRPr="00F0114F" w:rsidRDefault="00750627" w:rsidP="00F533AC">
      <w:pPr>
        <w:ind w:left="1418" w:hanging="1418"/>
        <w:jc w:val="both"/>
      </w:pPr>
      <w:r w:rsidRPr="00F0114F">
        <w:t xml:space="preserve">Short term </w:t>
      </w:r>
      <w:r>
        <w:tab/>
      </w:r>
      <w:r w:rsidRPr="00F0114F">
        <w:t>P1/A1+/F1+</w:t>
      </w:r>
    </w:p>
    <w:p w:rsidR="00F533AC" w:rsidRPr="001143BB" w:rsidRDefault="00057DFB" w:rsidP="00F533AC">
      <w:pPr>
        <w:jc w:val="both"/>
        <w:rPr>
          <w:highlight w:val="yellow"/>
        </w:rPr>
      </w:pPr>
    </w:p>
    <w:p w:rsidR="00F533AC" w:rsidRPr="007079C4" w:rsidRDefault="00750627" w:rsidP="00F533AC">
      <w:pPr>
        <w:jc w:val="both"/>
      </w:pPr>
      <w:r w:rsidRPr="007079C4">
        <w:t xml:space="preserve">The detailed calculation methodology of the blended average will be agreed with the </w:t>
      </w:r>
      <w:r>
        <w:t>c</w:t>
      </w:r>
      <w:r w:rsidRPr="007079C4">
        <w:t xml:space="preserve">ouncil's advisers and set out in the </w:t>
      </w:r>
      <w:r>
        <w:t>t</w:t>
      </w:r>
      <w:r w:rsidRPr="007079C4">
        <w:t xml:space="preserve">reasury </w:t>
      </w:r>
      <w:r>
        <w:t>m</w:t>
      </w:r>
      <w:r w:rsidRPr="007079C4">
        <w:t xml:space="preserve">anagement </w:t>
      </w:r>
      <w:r>
        <w:t>p</w:t>
      </w:r>
      <w:r w:rsidRPr="007079C4">
        <w:t>ractices</w:t>
      </w:r>
      <w:r>
        <w:t xml:space="preserve"> document</w:t>
      </w:r>
      <w:r w:rsidRPr="007079C4">
        <w:t>.</w:t>
      </w:r>
    </w:p>
    <w:p w:rsidR="00F533AC" w:rsidRPr="007079C4" w:rsidRDefault="00057DFB" w:rsidP="00F533AC">
      <w:pPr>
        <w:jc w:val="both"/>
      </w:pPr>
    </w:p>
    <w:p w:rsidR="00F533AC" w:rsidRPr="007079C4" w:rsidRDefault="00750627" w:rsidP="00F533AC">
      <w:pPr>
        <w:spacing w:after="240"/>
        <w:jc w:val="both"/>
      </w:pPr>
      <w:r>
        <w:t>If</w:t>
      </w:r>
      <w:r w:rsidRPr="007079C4">
        <w:t xml:space="preserve"> </w:t>
      </w:r>
      <w:r>
        <w:t xml:space="preserve">the counterparty of </w:t>
      </w:r>
      <w:r w:rsidRPr="007079C4">
        <w:t>an existing investment</w:t>
      </w:r>
      <w:r>
        <w:t xml:space="preserve"> falls outside the policy</w:t>
      </w:r>
      <w:r w:rsidRPr="007079C4">
        <w:t xml:space="preserve"> due to a change in credit rating,</w:t>
      </w:r>
      <w:r>
        <w:t xml:space="preserve"> </w:t>
      </w:r>
      <w:r w:rsidRPr="007079C4">
        <w:t>full consideration will be made, taking into account all relevant information, as to whether a premature settlement of the investment should be negotiated</w:t>
      </w:r>
      <w:r>
        <w:t>.</w:t>
      </w:r>
    </w:p>
    <w:p w:rsidR="00F533AC" w:rsidRDefault="00750627" w:rsidP="00F533AC">
      <w:pPr>
        <w:spacing w:after="240"/>
        <w:jc w:val="both"/>
      </w:pPr>
      <w:r w:rsidRPr="00AA7A0B">
        <w:t>The minimum sovereign rating for investment is AA-</w:t>
      </w:r>
      <w:r>
        <w:t xml:space="preserve"> with the exception of the UK. The UK's latest rating was issued by Moody's in September 2017 when they reduced the long term rating to Aa2.</w:t>
      </w:r>
    </w:p>
    <w:p w:rsidR="00F533AC" w:rsidRDefault="00750627" w:rsidP="00F533AC">
      <w:pPr>
        <w:spacing w:after="240"/>
        <w:jc w:val="both"/>
        <w:rPr>
          <w:rFonts w:asciiTheme="minorHAnsi" w:hAnsiTheme="minorHAnsi" w:cstheme="minorHAnsi"/>
          <w:sz w:val="22"/>
          <w:szCs w:val="22"/>
          <w:lang w:eastAsia="en-US"/>
        </w:rPr>
      </w:pPr>
      <w:r>
        <w:t xml:space="preserve">Although the rating still falls within the current strategy it is not impossible as the Brexit process proceeds or if there is an economic downturn that there will be further downgrades. This could result in investments in UK government gilts, treasury bonds and bodies guaranteed by the UK government falling outside the Treasury Management strategy. However, even if there is a further reduction in the UK credit rating, the UK government is still deemed a safe investment. The government has never defaulted on its payments and as an ultimate solution it could prevent insolvency by printing money. Therefore it is proposed that the AA- minimum sovereign rating is not applied to the UK. </w:t>
      </w:r>
      <w:r w:rsidRPr="00791840">
        <w:t xml:space="preserve">However, given that this is theoretically increasing risk within the portfolio </w:t>
      </w:r>
      <w:r>
        <w:t xml:space="preserve">the </w:t>
      </w:r>
      <w:r w:rsidRPr="00791840">
        <w:t xml:space="preserve">limits on the holdings by maturity </w:t>
      </w:r>
      <w:r>
        <w:t>are</w:t>
      </w:r>
      <w:r w:rsidRPr="00791840">
        <w:t xml:space="preserve"> as follows:  </w:t>
      </w:r>
      <w:r>
        <w:fldChar w:fldCharType="begin"/>
      </w:r>
      <w:r>
        <w:instrText xml:space="preserve"> LINK Excel.Sheet.12 "Book1" "Sheet1!R3C5:R6C6" \a \f 5 \h  \* MERGEFORMAT </w:instrText>
      </w:r>
      <w:r>
        <w:fldChar w:fldCharType="separate"/>
      </w:r>
    </w:p>
    <w:tbl>
      <w:tblPr>
        <w:tblStyle w:val="TableGrid"/>
        <w:tblW w:w="9067" w:type="dxa"/>
        <w:tblLook w:val="04A0" w:firstRow="1" w:lastRow="0" w:firstColumn="1" w:lastColumn="0" w:noHBand="0" w:noVBand="1"/>
      </w:tblPr>
      <w:tblGrid>
        <w:gridCol w:w="5949"/>
        <w:gridCol w:w="3118"/>
      </w:tblGrid>
      <w:tr w:rsidR="00CB5B91" w:rsidTr="00F533AC">
        <w:trPr>
          <w:trHeight w:val="338"/>
        </w:trPr>
        <w:tc>
          <w:tcPr>
            <w:tcW w:w="5949" w:type="dxa"/>
            <w:hideMark/>
          </w:tcPr>
          <w:p w:rsidR="00F533AC" w:rsidRPr="004977DB" w:rsidRDefault="00750627" w:rsidP="00F533AC">
            <w:pPr>
              <w:jc w:val="both"/>
            </w:pPr>
            <w:r w:rsidRPr="004977DB">
              <w:t xml:space="preserve">Maximum 1 year to maturity                </w:t>
            </w:r>
          </w:p>
        </w:tc>
        <w:tc>
          <w:tcPr>
            <w:tcW w:w="3118" w:type="dxa"/>
            <w:noWrap/>
            <w:hideMark/>
          </w:tcPr>
          <w:p w:rsidR="00F533AC" w:rsidRPr="004977DB" w:rsidRDefault="00750627" w:rsidP="00F533AC">
            <w:pPr>
              <w:jc w:val="center"/>
            </w:pPr>
            <w:r w:rsidRPr="004977DB">
              <w:t xml:space="preserve">£ </w:t>
            </w:r>
            <w:r>
              <w:t>3</w:t>
            </w:r>
            <w:r w:rsidRPr="004977DB">
              <w:t>00m</w:t>
            </w:r>
          </w:p>
        </w:tc>
      </w:tr>
      <w:tr w:rsidR="00CB5B91" w:rsidTr="00F533AC">
        <w:trPr>
          <w:trHeight w:val="300"/>
        </w:trPr>
        <w:tc>
          <w:tcPr>
            <w:tcW w:w="5949" w:type="dxa"/>
            <w:hideMark/>
          </w:tcPr>
          <w:p w:rsidR="00F533AC" w:rsidRPr="004977DB" w:rsidRDefault="00750627" w:rsidP="00F533AC">
            <w:pPr>
              <w:jc w:val="both"/>
            </w:pPr>
            <w:r w:rsidRPr="004977DB">
              <w:t xml:space="preserve">Maximum maturity up to 1-5 years        </w:t>
            </w:r>
          </w:p>
        </w:tc>
        <w:tc>
          <w:tcPr>
            <w:tcW w:w="3118" w:type="dxa"/>
            <w:noWrap/>
            <w:hideMark/>
          </w:tcPr>
          <w:p w:rsidR="00F533AC" w:rsidRPr="004977DB" w:rsidRDefault="00750627" w:rsidP="00F533AC">
            <w:pPr>
              <w:jc w:val="center"/>
            </w:pPr>
            <w:r w:rsidRPr="004977DB">
              <w:t>£ 300m</w:t>
            </w:r>
          </w:p>
        </w:tc>
      </w:tr>
      <w:tr w:rsidR="00CB5B91" w:rsidTr="00F533AC">
        <w:trPr>
          <w:trHeight w:val="300"/>
        </w:trPr>
        <w:tc>
          <w:tcPr>
            <w:tcW w:w="5949" w:type="dxa"/>
            <w:hideMark/>
          </w:tcPr>
          <w:p w:rsidR="00F533AC" w:rsidRPr="004977DB" w:rsidRDefault="00750627" w:rsidP="00F533AC">
            <w:pPr>
              <w:jc w:val="both"/>
            </w:pPr>
            <w:r w:rsidRPr="004977DB">
              <w:t xml:space="preserve">Maximum maturity 5-10 years              </w:t>
            </w:r>
          </w:p>
        </w:tc>
        <w:tc>
          <w:tcPr>
            <w:tcW w:w="3118" w:type="dxa"/>
            <w:noWrap/>
            <w:hideMark/>
          </w:tcPr>
          <w:p w:rsidR="00F533AC" w:rsidRPr="004977DB" w:rsidRDefault="00750627" w:rsidP="00F533AC">
            <w:pPr>
              <w:jc w:val="center"/>
            </w:pPr>
            <w:r w:rsidRPr="004977DB">
              <w:t>£ 300m</w:t>
            </w:r>
          </w:p>
        </w:tc>
      </w:tr>
      <w:tr w:rsidR="00CB5B91" w:rsidTr="00F533AC">
        <w:trPr>
          <w:trHeight w:val="175"/>
        </w:trPr>
        <w:tc>
          <w:tcPr>
            <w:tcW w:w="5949" w:type="dxa"/>
            <w:hideMark/>
          </w:tcPr>
          <w:p w:rsidR="00F533AC" w:rsidRPr="004977DB" w:rsidRDefault="00750627" w:rsidP="00F533AC">
            <w:pPr>
              <w:jc w:val="both"/>
            </w:pPr>
            <w:r w:rsidRPr="004977DB">
              <w:t xml:space="preserve">Over 10 years                                        </w:t>
            </w:r>
          </w:p>
        </w:tc>
        <w:tc>
          <w:tcPr>
            <w:tcW w:w="3118" w:type="dxa"/>
            <w:noWrap/>
            <w:hideMark/>
          </w:tcPr>
          <w:p w:rsidR="00F533AC" w:rsidRPr="004977DB" w:rsidRDefault="00750627" w:rsidP="00F533AC">
            <w:pPr>
              <w:jc w:val="center"/>
            </w:pPr>
            <w:r w:rsidRPr="004977DB">
              <w:t xml:space="preserve">£ </w:t>
            </w:r>
            <w:r>
              <w:t>5</w:t>
            </w:r>
            <w:r w:rsidRPr="004977DB">
              <w:t>00m</w:t>
            </w:r>
          </w:p>
        </w:tc>
      </w:tr>
    </w:tbl>
    <w:p w:rsidR="00F533AC" w:rsidRDefault="00750627" w:rsidP="00F533AC">
      <w:pPr>
        <w:jc w:val="both"/>
      </w:pPr>
      <w:r>
        <w:fldChar w:fldCharType="end"/>
      </w:r>
    </w:p>
    <w:p w:rsidR="00F533AC" w:rsidRDefault="00057DFB" w:rsidP="00F533AC">
      <w:pPr>
        <w:jc w:val="both"/>
      </w:pPr>
    </w:p>
    <w:p w:rsidR="00F533AC" w:rsidRDefault="00057DFB" w:rsidP="00F533AC">
      <w:pPr>
        <w:jc w:val="both"/>
      </w:pPr>
    </w:p>
    <w:p w:rsidR="00F533AC" w:rsidRDefault="00057DFB" w:rsidP="00F533AC">
      <w:pPr>
        <w:jc w:val="both"/>
      </w:pPr>
    </w:p>
    <w:p w:rsidR="00F533AC" w:rsidRDefault="00057DFB" w:rsidP="00F533AC">
      <w:pPr>
        <w:jc w:val="both"/>
      </w:pPr>
    </w:p>
    <w:p w:rsidR="00F533AC" w:rsidRDefault="00057DFB" w:rsidP="00F533AC">
      <w:pPr>
        <w:jc w:val="both"/>
      </w:pPr>
    </w:p>
    <w:p w:rsidR="00F533AC" w:rsidRDefault="00057DFB" w:rsidP="00F533AC">
      <w:pPr>
        <w:jc w:val="both"/>
      </w:pPr>
    </w:p>
    <w:p w:rsidR="00F533AC" w:rsidRDefault="00057DFB" w:rsidP="00F533AC">
      <w:pPr>
        <w:jc w:val="both"/>
      </w:pPr>
    </w:p>
    <w:p w:rsidR="00F533AC" w:rsidRDefault="00057DFB" w:rsidP="00F533AC">
      <w:pPr>
        <w:jc w:val="both"/>
      </w:pPr>
    </w:p>
    <w:p w:rsidR="00F533AC" w:rsidRDefault="00057DFB" w:rsidP="00F533AC">
      <w:pPr>
        <w:jc w:val="both"/>
      </w:pPr>
    </w:p>
    <w:p w:rsidR="00F533AC" w:rsidRDefault="00057DFB" w:rsidP="00F533AC">
      <w:pPr>
        <w:jc w:val="both"/>
      </w:pPr>
    </w:p>
    <w:p w:rsidR="00F533AC" w:rsidRDefault="00057DFB" w:rsidP="00F533AC">
      <w:pPr>
        <w:jc w:val="both"/>
      </w:pPr>
    </w:p>
    <w:p w:rsidR="00F533AC" w:rsidRDefault="00057DFB" w:rsidP="00F533AC">
      <w:pPr>
        <w:jc w:val="both"/>
      </w:pPr>
    </w:p>
    <w:p w:rsidR="00F533AC" w:rsidRDefault="00057DFB" w:rsidP="00F533AC">
      <w:pPr>
        <w:jc w:val="both"/>
      </w:pPr>
    </w:p>
    <w:p w:rsidR="00F533AC" w:rsidRDefault="00057DFB" w:rsidP="00F533AC">
      <w:pPr>
        <w:jc w:val="both"/>
      </w:pPr>
    </w:p>
    <w:p w:rsidR="00F533AC" w:rsidRPr="00791840" w:rsidRDefault="00057DFB" w:rsidP="00F533AC">
      <w:pPr>
        <w:jc w:val="both"/>
      </w:pPr>
    </w:p>
    <w:p w:rsidR="00F533AC" w:rsidRDefault="00750627" w:rsidP="00F533AC">
      <w:pPr>
        <w:jc w:val="both"/>
      </w:pPr>
      <w:r>
        <w:lastRenderedPageBreak/>
        <w:t>The table below shows the approved investment counterparties and limits:</w:t>
      </w:r>
    </w:p>
    <w:p w:rsidR="00F533AC" w:rsidRDefault="00057DFB" w:rsidP="00F533A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417"/>
        <w:gridCol w:w="1277"/>
        <w:gridCol w:w="1275"/>
        <w:gridCol w:w="1933"/>
      </w:tblGrid>
      <w:tr w:rsidR="00CB5B91" w:rsidTr="00F533AC">
        <w:trPr>
          <w:trHeight w:val="839"/>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rPr>
                <w:sz w:val="20"/>
                <w:szCs w:val="20"/>
              </w:rPr>
            </w:pPr>
            <w:r w:rsidRPr="00E83383">
              <w:rPr>
                <w:sz w:val="20"/>
                <w:szCs w:val="20"/>
              </w:rPr>
              <w:t>Instrument</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rPr>
                <w:sz w:val="20"/>
                <w:szCs w:val="20"/>
              </w:rPr>
            </w:pPr>
            <w:r w:rsidRPr="00E83383">
              <w:rPr>
                <w:sz w:val="20"/>
                <w:szCs w:val="20"/>
              </w:rPr>
              <w:t>Minimum Credit Rating (blended average)</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rPr>
                <w:sz w:val="20"/>
                <w:szCs w:val="20"/>
              </w:rPr>
            </w:pPr>
            <w:r w:rsidRPr="00E83383">
              <w:rPr>
                <w:sz w:val="20"/>
                <w:szCs w:val="20"/>
              </w:rPr>
              <w:t>Maximum individual Investment (£m)</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rPr>
                <w:sz w:val="20"/>
                <w:szCs w:val="20"/>
              </w:rPr>
            </w:pPr>
            <w:r w:rsidRPr="00E83383">
              <w:rPr>
                <w:sz w:val="20"/>
                <w:szCs w:val="20"/>
              </w:rPr>
              <w:t>Maximum total Investment (£m)</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rPr>
                <w:sz w:val="20"/>
                <w:szCs w:val="20"/>
              </w:rPr>
            </w:pPr>
            <w:r w:rsidRPr="00E83383">
              <w:rPr>
                <w:sz w:val="20"/>
                <w:szCs w:val="20"/>
              </w:rPr>
              <w:t>Maximum Period</w:t>
            </w:r>
          </w:p>
        </w:tc>
      </w:tr>
      <w:tr w:rsidR="00CB5B91" w:rsidTr="00F533AC">
        <w:trPr>
          <w:trHeight w:val="839"/>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UK Government Gilts, Treasury Bills &amp; bodies guaranteed by UK Government</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UK Government</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5</w:t>
            </w:r>
            <w:r w:rsidRPr="00E83383">
              <w:rPr>
                <w:sz w:val="20"/>
                <w:szCs w:val="20"/>
              </w:rPr>
              <w:t>00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500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Pr>
                <w:sz w:val="20"/>
                <w:szCs w:val="20"/>
              </w:rPr>
              <w:t>No limit</w:t>
            </w:r>
          </w:p>
        </w:tc>
      </w:tr>
      <w:tr w:rsidR="00CB5B91" w:rsidTr="00F533AC">
        <w:trPr>
          <w:trHeight w:val="708"/>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 xml:space="preserve">Sterling Supranational Bonds &amp; Sterling Sovereign Bonds </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AA-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sidRPr="00E83383">
              <w:rPr>
                <w:sz w:val="20"/>
                <w:szCs w:val="20"/>
              </w:rPr>
              <w:t>150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3</w:t>
            </w:r>
            <w:r w:rsidRPr="00E83383">
              <w:rPr>
                <w:sz w:val="20"/>
                <w:szCs w:val="20"/>
              </w:rPr>
              <w:t>00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Pr>
                <w:sz w:val="20"/>
                <w:szCs w:val="20"/>
              </w:rPr>
              <w:t>No limit</w:t>
            </w:r>
          </w:p>
        </w:tc>
      </w:tr>
      <w:tr w:rsidR="00CB5B91" w:rsidTr="00F533AC">
        <w:trPr>
          <w:trHeight w:val="704"/>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Corporate Bonds (Short Term less than 1yr to maturity)</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P1/A1/F1</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5</w:t>
            </w:r>
            <w:r w:rsidRPr="00E83383">
              <w:rPr>
                <w:sz w:val="20"/>
                <w:szCs w:val="20"/>
              </w:rPr>
              <w:t>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sidRPr="00E83383">
              <w:rPr>
                <w:sz w:val="20"/>
                <w:szCs w:val="20"/>
              </w:rPr>
              <w:t>200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1</w:t>
            </w:r>
            <w:r>
              <w:rPr>
                <w:sz w:val="20"/>
                <w:szCs w:val="20"/>
              </w:rPr>
              <w:t xml:space="preserve"> </w:t>
            </w:r>
            <w:r w:rsidRPr="00E83383">
              <w:rPr>
                <w:sz w:val="20"/>
                <w:szCs w:val="20"/>
              </w:rPr>
              <w:t>y</w:t>
            </w:r>
            <w:r>
              <w:rPr>
                <w:sz w:val="20"/>
                <w:szCs w:val="20"/>
              </w:rPr>
              <w:t>ear</w:t>
            </w:r>
          </w:p>
        </w:tc>
      </w:tr>
      <w:tr w:rsidR="00CB5B91" w:rsidTr="00F533AC">
        <w:trPr>
          <w:trHeight w:val="839"/>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Corporate Bonds (Medium term up to 5 years)</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Default="00750627" w:rsidP="00F533AC">
            <w:pPr>
              <w:contextualSpacing/>
              <w:rPr>
                <w:sz w:val="20"/>
                <w:szCs w:val="20"/>
              </w:rPr>
            </w:pPr>
            <w:r w:rsidRPr="00E83383">
              <w:rPr>
                <w:sz w:val="20"/>
                <w:szCs w:val="20"/>
              </w:rPr>
              <w:t>AA-</w:t>
            </w:r>
          </w:p>
          <w:p w:rsidR="00F533AC" w:rsidRPr="00E83383" w:rsidRDefault="00750627" w:rsidP="00F533AC">
            <w:pPr>
              <w:contextualSpacing/>
              <w:rPr>
                <w:sz w:val="20"/>
                <w:szCs w:val="20"/>
              </w:rPr>
            </w:pPr>
            <w:r w:rsidRPr="00E83383">
              <w:rPr>
                <w:sz w:val="20"/>
                <w:szCs w:val="20"/>
              </w:rPr>
              <w:t>P1/A1/F1</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sidRPr="00E83383">
              <w:rPr>
                <w:sz w:val="20"/>
                <w:szCs w:val="20"/>
              </w:rPr>
              <w:t>100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3</w:t>
            </w:r>
            <w:r w:rsidRPr="00E83383">
              <w:rPr>
                <w:sz w:val="20"/>
                <w:szCs w:val="20"/>
              </w:rPr>
              <w:t>00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5</w:t>
            </w:r>
            <w:r>
              <w:rPr>
                <w:sz w:val="20"/>
                <w:szCs w:val="20"/>
              </w:rPr>
              <w:t xml:space="preserve"> </w:t>
            </w:r>
            <w:r w:rsidRPr="00E83383">
              <w:rPr>
                <w:sz w:val="20"/>
                <w:szCs w:val="20"/>
              </w:rPr>
              <w:t>y</w:t>
            </w:r>
            <w:r>
              <w:rPr>
                <w:sz w:val="20"/>
                <w:szCs w:val="20"/>
              </w:rPr>
              <w:t>ear</w:t>
            </w:r>
            <w:r w:rsidRPr="00E83383">
              <w:rPr>
                <w:sz w:val="20"/>
                <w:szCs w:val="20"/>
              </w:rPr>
              <w:t>s</w:t>
            </w:r>
          </w:p>
        </w:tc>
      </w:tr>
      <w:tr w:rsidR="00CB5B91" w:rsidTr="00F533AC">
        <w:trPr>
          <w:trHeight w:val="415"/>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Corporate Bonds (Long term)</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Default="00750627" w:rsidP="00F533AC">
            <w:pPr>
              <w:contextualSpacing/>
              <w:rPr>
                <w:sz w:val="20"/>
                <w:szCs w:val="20"/>
              </w:rPr>
            </w:pPr>
            <w:r w:rsidRPr="00E83383">
              <w:rPr>
                <w:sz w:val="20"/>
                <w:szCs w:val="20"/>
              </w:rPr>
              <w:t>AA</w:t>
            </w:r>
          </w:p>
          <w:p w:rsidR="00F533AC" w:rsidRPr="00E83383" w:rsidRDefault="00750627" w:rsidP="00F533AC">
            <w:pPr>
              <w:contextualSpacing/>
              <w:rPr>
                <w:sz w:val="20"/>
                <w:szCs w:val="20"/>
              </w:rPr>
            </w:pPr>
            <w:r w:rsidRPr="00E83383">
              <w:rPr>
                <w:sz w:val="20"/>
                <w:szCs w:val="20"/>
              </w:rPr>
              <w:t>P1/A1+/F1+</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sidRPr="00E83383">
              <w:rPr>
                <w:sz w:val="20"/>
                <w:szCs w:val="20"/>
              </w:rPr>
              <w:t>50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sidRPr="00E83383">
              <w:rPr>
                <w:sz w:val="20"/>
                <w:szCs w:val="20"/>
              </w:rPr>
              <w:t>2</w:t>
            </w:r>
            <w:r>
              <w:rPr>
                <w:sz w:val="20"/>
                <w:szCs w:val="20"/>
              </w:rPr>
              <w:t>0</w:t>
            </w:r>
            <w:r w:rsidRPr="00E83383">
              <w:rPr>
                <w:sz w:val="20"/>
                <w:szCs w:val="20"/>
              </w:rPr>
              <w:t>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Pr>
                <w:sz w:val="20"/>
                <w:szCs w:val="20"/>
              </w:rPr>
              <w:t>No limit</w:t>
            </w:r>
          </w:p>
        </w:tc>
      </w:tr>
      <w:tr w:rsidR="00CB5B91" w:rsidTr="00F533AC">
        <w:trPr>
          <w:trHeight w:val="839"/>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Government Bond Repurchase Agreements (Repo/ Reverse Repo)</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 xml:space="preserve">UK Government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3</w:t>
            </w:r>
            <w:r w:rsidRPr="00E83383">
              <w:rPr>
                <w:sz w:val="20"/>
                <w:szCs w:val="20"/>
              </w:rPr>
              <w:t>00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3</w:t>
            </w:r>
            <w:r w:rsidRPr="00E83383">
              <w:rPr>
                <w:sz w:val="20"/>
                <w:szCs w:val="20"/>
              </w:rPr>
              <w:t>00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Pr>
                <w:sz w:val="20"/>
                <w:szCs w:val="20"/>
              </w:rPr>
              <w:t xml:space="preserve">3 </w:t>
            </w:r>
            <w:r w:rsidRPr="00E83383">
              <w:rPr>
                <w:sz w:val="20"/>
                <w:szCs w:val="20"/>
              </w:rPr>
              <w:t>y</w:t>
            </w:r>
            <w:r>
              <w:rPr>
                <w:sz w:val="20"/>
                <w:szCs w:val="20"/>
              </w:rPr>
              <w:t>ears</w:t>
            </w:r>
          </w:p>
        </w:tc>
      </w:tr>
      <w:tr w:rsidR="00CB5B91" w:rsidTr="00F533AC">
        <w:trPr>
          <w:trHeight w:val="519"/>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Repurchase Agreements (Repo/ Reverse Repo)</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Other AA-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sidRPr="00E83383">
              <w:rPr>
                <w:sz w:val="20"/>
                <w:szCs w:val="20"/>
              </w:rPr>
              <w:t>200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sidRPr="00E83383">
              <w:rPr>
                <w:sz w:val="20"/>
                <w:szCs w:val="20"/>
              </w:rPr>
              <w:t>200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1</w:t>
            </w:r>
            <w:r>
              <w:rPr>
                <w:sz w:val="20"/>
                <w:szCs w:val="20"/>
              </w:rPr>
              <w:t xml:space="preserve"> </w:t>
            </w:r>
            <w:r w:rsidRPr="00E83383">
              <w:rPr>
                <w:sz w:val="20"/>
                <w:szCs w:val="20"/>
              </w:rPr>
              <w:t>y</w:t>
            </w:r>
            <w:r>
              <w:rPr>
                <w:sz w:val="20"/>
                <w:szCs w:val="20"/>
              </w:rPr>
              <w:t>ea</w:t>
            </w:r>
            <w:r w:rsidRPr="00E83383">
              <w:rPr>
                <w:sz w:val="20"/>
                <w:szCs w:val="20"/>
              </w:rPr>
              <w:t>r</w:t>
            </w:r>
          </w:p>
        </w:tc>
      </w:tr>
      <w:tr w:rsidR="00CB5B91" w:rsidTr="00F533AC">
        <w:trPr>
          <w:trHeight w:val="839"/>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Bond Funds with weighted average maturity maximum 3 years</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AA Rated weighted average maturity 3yrs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50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100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These investments do not have a defined maturity date</w:t>
            </w:r>
          </w:p>
        </w:tc>
      </w:tr>
      <w:tr w:rsidR="00CB5B91" w:rsidTr="00F533AC">
        <w:trPr>
          <w:trHeight w:val="839"/>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Bond Funds with weighted average maturity maximum 5 years</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 xml:space="preserve">AAA Rated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50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100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These investments do not have a defined maturity date</w:t>
            </w:r>
          </w:p>
        </w:tc>
      </w:tr>
      <w:tr w:rsidR="00CB5B91" w:rsidTr="00F533AC">
        <w:trPr>
          <w:trHeight w:val="839"/>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 xml:space="preserve">Collateralised lending agreements backed by higher quality government or local government and supra national sterling securities. </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 xml:space="preserve">AA- with cash or AA- for any collateral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300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3</w:t>
            </w:r>
            <w:r w:rsidRPr="00E83383">
              <w:rPr>
                <w:sz w:val="20"/>
                <w:szCs w:val="20"/>
              </w:rPr>
              <w:t>00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25</w:t>
            </w:r>
            <w:r>
              <w:rPr>
                <w:sz w:val="20"/>
                <w:szCs w:val="20"/>
              </w:rPr>
              <w:t xml:space="preserve"> </w:t>
            </w:r>
            <w:r w:rsidRPr="00E83383">
              <w:rPr>
                <w:sz w:val="20"/>
                <w:szCs w:val="20"/>
              </w:rPr>
              <w:t>y</w:t>
            </w:r>
            <w:r>
              <w:rPr>
                <w:sz w:val="20"/>
                <w:szCs w:val="20"/>
              </w:rPr>
              <w:t>ear</w:t>
            </w:r>
            <w:r w:rsidRPr="00E83383">
              <w:rPr>
                <w:sz w:val="20"/>
                <w:szCs w:val="20"/>
              </w:rPr>
              <w:t>s</w:t>
            </w:r>
          </w:p>
        </w:tc>
      </w:tr>
      <w:tr w:rsidR="00CB5B91" w:rsidTr="00F533AC">
        <w:trPr>
          <w:trHeight w:val="839"/>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 xml:space="preserve">Call accounts with UK and Overseas Banks (domiciled in UK) </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P1/A1/F1 Long term A Government support</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sidRPr="00E83383">
              <w:rPr>
                <w:sz w:val="20"/>
                <w:szCs w:val="20"/>
              </w:rPr>
              <w:t>100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2</w:t>
            </w:r>
            <w:r w:rsidRPr="00E83383">
              <w:rPr>
                <w:sz w:val="20"/>
                <w:szCs w:val="20"/>
              </w:rPr>
              <w:t>00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Overnight in line with clearing system guarantee (currently 4 years)</w:t>
            </w:r>
          </w:p>
        </w:tc>
      </w:tr>
      <w:tr w:rsidR="00CB5B91" w:rsidTr="00F533AC">
        <w:trPr>
          <w:trHeight w:val="839"/>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Unsecured deposits/CDs to Banks and Building Societies</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AA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Pr>
                <w:sz w:val="20"/>
                <w:szCs w:val="20"/>
              </w:rPr>
              <w:t>10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sidRPr="00E83383">
              <w:rPr>
                <w:sz w:val="20"/>
                <w:szCs w:val="20"/>
              </w:rPr>
              <w:t>50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1 year</w:t>
            </w:r>
          </w:p>
        </w:tc>
      </w:tr>
      <w:tr w:rsidR="00CB5B91" w:rsidTr="00F533AC">
        <w:trPr>
          <w:trHeight w:val="839"/>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Equity, property, multi asset or credit Pooled Funds</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Ratings are not produced for such Funds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sidRPr="00E83383">
              <w:rPr>
                <w:sz w:val="20"/>
                <w:szCs w:val="20"/>
              </w:rPr>
              <w:t>50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jc w:val="center"/>
              <w:rPr>
                <w:sz w:val="20"/>
                <w:szCs w:val="20"/>
              </w:rPr>
            </w:pPr>
            <w:r w:rsidRPr="00E83383">
              <w:rPr>
                <w:sz w:val="20"/>
                <w:szCs w:val="20"/>
              </w:rPr>
              <w:t>100</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F533AC" w:rsidRPr="00E83383" w:rsidRDefault="00750627" w:rsidP="00F533AC">
            <w:pPr>
              <w:contextualSpacing/>
              <w:rPr>
                <w:sz w:val="20"/>
                <w:szCs w:val="20"/>
              </w:rPr>
            </w:pPr>
            <w:r w:rsidRPr="00E83383">
              <w:rPr>
                <w:sz w:val="20"/>
                <w:szCs w:val="20"/>
              </w:rPr>
              <w:t>These investments do not have a defined maturity date</w:t>
            </w:r>
          </w:p>
        </w:tc>
      </w:tr>
    </w:tbl>
    <w:p w:rsidR="00F533AC" w:rsidRDefault="00057DFB" w:rsidP="00F533AC">
      <w:pPr>
        <w:spacing w:after="240"/>
        <w:jc w:val="both"/>
      </w:pPr>
    </w:p>
    <w:p w:rsidR="00F533AC" w:rsidRDefault="00750627" w:rsidP="00F533AC">
      <w:pPr>
        <w:spacing w:after="240"/>
        <w:jc w:val="both"/>
      </w:pPr>
      <w:r w:rsidRPr="00AA40ED">
        <w:t xml:space="preserve">Other than call account and operational bank accounts the </w:t>
      </w:r>
      <w:r>
        <w:t>c</w:t>
      </w:r>
      <w:r w:rsidRPr="00AA40ED">
        <w:t>ouncil does not currently make unsecured investments with banks. This i</w:t>
      </w:r>
      <w:r>
        <w:t>s as a</w:t>
      </w:r>
      <w:r w:rsidRPr="00AA40ED">
        <w:t xml:space="preserve"> result of the risk following the implementation of </w:t>
      </w:r>
      <w:r>
        <w:t>'b</w:t>
      </w:r>
      <w:r w:rsidRPr="00AA40ED">
        <w:t>ail-in</w:t>
      </w:r>
      <w:r>
        <w:t>'</w:t>
      </w:r>
      <w:r w:rsidRPr="00AA40ED">
        <w:t xml:space="preserve"> legislation, which ensures that large investors including local authorities will rescue failing banks instead of taxpayers in the future. However the </w:t>
      </w:r>
      <w:r w:rsidRPr="00AA40ED">
        <w:lastRenderedPageBreak/>
        <w:t>option to undertake small scale lending</w:t>
      </w:r>
      <w:r>
        <w:t>,</w:t>
      </w:r>
      <w:r w:rsidRPr="00AA40ED">
        <w:t xml:space="preserve"> widely spread</w:t>
      </w:r>
      <w:r>
        <w:t>,</w:t>
      </w:r>
      <w:r w:rsidRPr="00AA40ED">
        <w:t xml:space="preserve"> may have some value and is therefore included in the</w:t>
      </w:r>
      <w:r>
        <w:t xml:space="preserve"> policy.</w:t>
      </w:r>
    </w:p>
    <w:p w:rsidR="00F533AC" w:rsidRDefault="00750627" w:rsidP="00F533AC">
      <w:pPr>
        <w:spacing w:after="240"/>
        <w:jc w:val="both"/>
      </w:pPr>
      <w:r>
        <w:t xml:space="preserve">The council has previously approved the use of property and equity pooled funds if they are deemed appropriate for the overall treasury management portfolio. In addition, multi asset and credit funds exist. It is proposed that investment can also be made in these funds but that overall no more than £100m is invested in pooled funds. </w:t>
      </w:r>
    </w:p>
    <w:p w:rsidR="00F533AC" w:rsidRDefault="00750627" w:rsidP="00F533AC">
      <w:pPr>
        <w:jc w:val="both"/>
      </w:pPr>
      <w:r>
        <w:t xml:space="preserve">In addition the council can invest with other local authorities. Following the downgrade of the UK, some local authorities saw a reduction in their ratings. Therefore, consideration has been given to reducing the risk associated with the council's investment with other local authorities. </w:t>
      </w:r>
      <w:proofErr w:type="spellStart"/>
      <w:r>
        <w:t>Arlingclose</w:t>
      </w:r>
      <w:proofErr w:type="spellEnd"/>
      <w:r>
        <w:t xml:space="preserve"> state that they</w:t>
      </w:r>
      <w:r w:rsidRPr="00F62FDD">
        <w:t xml:space="preserve"> </w:t>
      </w:r>
      <w:r>
        <w:t xml:space="preserve">are </w:t>
      </w:r>
      <w:r w:rsidRPr="00F62FDD">
        <w:t xml:space="preserve">comfortable with clients making loans to UK local authorities for periods up to four years, subject to this meeting their approved strategy. For periods longer than four years </w:t>
      </w:r>
      <w:r>
        <w:t>they</w:t>
      </w:r>
      <w:r w:rsidRPr="00F62FDD">
        <w:t xml:space="preserve"> recommend that additional due diligence is undertaken prior to a loan being made</w:t>
      </w:r>
      <w:r>
        <w:t>. On this basis it is proposed that the investments to local authorities are limited as follows:</w:t>
      </w:r>
    </w:p>
    <w:p w:rsidR="00F533AC" w:rsidRDefault="00750627">
      <w:r>
        <w:t xml:space="preserve">                                         </w:t>
      </w:r>
    </w:p>
    <w:tbl>
      <w:tblPr>
        <w:tblStyle w:val="TableGrid"/>
        <w:tblW w:w="0" w:type="auto"/>
        <w:tblLook w:val="04A0" w:firstRow="1" w:lastRow="0" w:firstColumn="1" w:lastColumn="0" w:noHBand="0" w:noVBand="1"/>
      </w:tblPr>
      <w:tblGrid>
        <w:gridCol w:w="2253"/>
        <w:gridCol w:w="2420"/>
        <w:gridCol w:w="2410"/>
        <w:gridCol w:w="1933"/>
      </w:tblGrid>
      <w:tr w:rsidR="00CB5B91" w:rsidTr="00F533AC">
        <w:trPr>
          <w:trHeight w:val="496"/>
        </w:trPr>
        <w:tc>
          <w:tcPr>
            <w:tcW w:w="2253" w:type="dxa"/>
          </w:tcPr>
          <w:p w:rsidR="00F533AC" w:rsidRPr="004977DB" w:rsidRDefault="00057DFB" w:rsidP="00F533AC">
            <w:pPr>
              <w:rPr>
                <w:sz w:val="22"/>
                <w:szCs w:val="22"/>
              </w:rPr>
            </w:pPr>
          </w:p>
        </w:tc>
        <w:tc>
          <w:tcPr>
            <w:tcW w:w="2420" w:type="dxa"/>
          </w:tcPr>
          <w:p w:rsidR="00F533AC" w:rsidRPr="00354B3D" w:rsidRDefault="00750627" w:rsidP="00F533AC">
            <w:pPr>
              <w:jc w:val="center"/>
              <w:rPr>
                <w:sz w:val="22"/>
                <w:szCs w:val="22"/>
              </w:rPr>
            </w:pPr>
            <w:r w:rsidRPr="00354B3D">
              <w:rPr>
                <w:sz w:val="22"/>
                <w:szCs w:val="22"/>
              </w:rPr>
              <w:t>Maximum individual investment</w:t>
            </w:r>
          </w:p>
        </w:tc>
        <w:tc>
          <w:tcPr>
            <w:tcW w:w="2410" w:type="dxa"/>
          </w:tcPr>
          <w:p w:rsidR="00F533AC" w:rsidRPr="00354B3D" w:rsidRDefault="00750627" w:rsidP="00F533AC">
            <w:pPr>
              <w:jc w:val="center"/>
              <w:rPr>
                <w:sz w:val="22"/>
                <w:szCs w:val="22"/>
              </w:rPr>
            </w:pPr>
            <w:r w:rsidRPr="00354B3D">
              <w:rPr>
                <w:sz w:val="22"/>
                <w:szCs w:val="22"/>
              </w:rPr>
              <w:t xml:space="preserve">Maximum total investment </w:t>
            </w:r>
          </w:p>
        </w:tc>
        <w:tc>
          <w:tcPr>
            <w:tcW w:w="1933" w:type="dxa"/>
          </w:tcPr>
          <w:p w:rsidR="00F533AC" w:rsidRPr="00354B3D" w:rsidRDefault="00750627" w:rsidP="00F533AC">
            <w:pPr>
              <w:jc w:val="center"/>
              <w:rPr>
                <w:sz w:val="22"/>
                <w:szCs w:val="22"/>
              </w:rPr>
            </w:pPr>
            <w:r w:rsidRPr="00354B3D">
              <w:rPr>
                <w:sz w:val="22"/>
                <w:szCs w:val="22"/>
              </w:rPr>
              <w:t>Maximum period</w:t>
            </w:r>
          </w:p>
        </w:tc>
      </w:tr>
      <w:tr w:rsidR="00CB5B91" w:rsidTr="00F533AC">
        <w:tc>
          <w:tcPr>
            <w:tcW w:w="2253" w:type="dxa"/>
          </w:tcPr>
          <w:p w:rsidR="00F533AC" w:rsidRDefault="00750627" w:rsidP="00F533AC">
            <w:r>
              <w:t>Up to 4 years</w:t>
            </w:r>
          </w:p>
        </w:tc>
        <w:tc>
          <w:tcPr>
            <w:tcW w:w="2420" w:type="dxa"/>
          </w:tcPr>
          <w:p w:rsidR="00F533AC" w:rsidRDefault="00750627" w:rsidP="00F533AC">
            <w:pPr>
              <w:jc w:val="right"/>
            </w:pPr>
            <w:r>
              <w:t>£20m</w:t>
            </w:r>
          </w:p>
        </w:tc>
        <w:tc>
          <w:tcPr>
            <w:tcW w:w="2410" w:type="dxa"/>
          </w:tcPr>
          <w:p w:rsidR="00F533AC" w:rsidRDefault="00750627" w:rsidP="00F533AC">
            <w:pPr>
              <w:jc w:val="right"/>
            </w:pPr>
            <w:r>
              <w:t>£200m</w:t>
            </w:r>
          </w:p>
        </w:tc>
        <w:tc>
          <w:tcPr>
            <w:tcW w:w="1933" w:type="dxa"/>
          </w:tcPr>
          <w:p w:rsidR="00F533AC" w:rsidRDefault="00750627" w:rsidP="00F533AC">
            <w:pPr>
              <w:jc w:val="right"/>
            </w:pPr>
            <w:r>
              <w:t>4 years</w:t>
            </w:r>
          </w:p>
        </w:tc>
      </w:tr>
      <w:tr w:rsidR="00CB5B91" w:rsidTr="00F533AC">
        <w:tc>
          <w:tcPr>
            <w:tcW w:w="2253" w:type="dxa"/>
          </w:tcPr>
          <w:p w:rsidR="00F533AC" w:rsidRDefault="00750627" w:rsidP="00F533AC">
            <w:r>
              <w:t>Over 4 years</w:t>
            </w:r>
          </w:p>
        </w:tc>
        <w:tc>
          <w:tcPr>
            <w:tcW w:w="2420" w:type="dxa"/>
          </w:tcPr>
          <w:p w:rsidR="00F533AC" w:rsidRDefault="00750627" w:rsidP="00F533AC">
            <w:pPr>
              <w:jc w:val="right"/>
            </w:pPr>
            <w:r>
              <w:t>£20m</w:t>
            </w:r>
          </w:p>
        </w:tc>
        <w:tc>
          <w:tcPr>
            <w:tcW w:w="2410" w:type="dxa"/>
          </w:tcPr>
          <w:p w:rsidR="00F533AC" w:rsidRDefault="00750627" w:rsidP="00F533AC">
            <w:pPr>
              <w:jc w:val="right"/>
            </w:pPr>
            <w:r>
              <w:t>£100m</w:t>
            </w:r>
          </w:p>
        </w:tc>
        <w:tc>
          <w:tcPr>
            <w:tcW w:w="1933" w:type="dxa"/>
          </w:tcPr>
          <w:p w:rsidR="00F533AC" w:rsidRDefault="00750627" w:rsidP="00F533AC">
            <w:pPr>
              <w:jc w:val="right"/>
            </w:pPr>
            <w:r>
              <w:t>10 years</w:t>
            </w:r>
          </w:p>
        </w:tc>
      </w:tr>
    </w:tbl>
    <w:p w:rsidR="00F533AC" w:rsidRDefault="00057DFB" w:rsidP="00F533AC">
      <w:pPr>
        <w:jc w:val="both"/>
      </w:pPr>
    </w:p>
    <w:p w:rsidR="00F533AC" w:rsidRDefault="00750627" w:rsidP="00F533AC">
      <w:pPr>
        <w:jc w:val="both"/>
      </w:pPr>
      <w:r>
        <w:t>The council's day to day transactional bank, National Westminster, lies outside the investment credit matrix but emergency</w:t>
      </w:r>
      <w:r w:rsidRPr="00A036BF">
        <w:t xml:space="preserve"> overnight deposits </w:t>
      </w:r>
      <w:r>
        <w:t xml:space="preserve">may be placed </w:t>
      </w:r>
      <w:r w:rsidRPr="00A036BF">
        <w:t>with the</w:t>
      </w:r>
      <w:r>
        <w:t>m from time to time. I</w:t>
      </w:r>
      <w:r w:rsidRPr="00A036BF">
        <w:t xml:space="preserve">n practice </w:t>
      </w:r>
      <w:r>
        <w:t>the balances are considered on a daily basis and kept as near to zero as possible. The balance on any day is typically below £1m.</w:t>
      </w:r>
    </w:p>
    <w:p w:rsidR="00F533AC" w:rsidRDefault="00057DFB" w:rsidP="00F533AC">
      <w:pPr>
        <w:jc w:val="both"/>
      </w:pPr>
    </w:p>
    <w:p w:rsidR="00F533AC" w:rsidRPr="00A036BF" w:rsidRDefault="00750627" w:rsidP="00F533AC">
      <w:pPr>
        <w:spacing w:after="240"/>
        <w:jc w:val="both"/>
        <w:rPr>
          <w:b/>
          <w:bCs/>
        </w:rPr>
      </w:pPr>
      <w:r>
        <w:t>Although not treated as an investment any monies would be subject to bank bail-in if there was a bank failure.</w:t>
      </w:r>
      <w:r w:rsidRPr="003323CA">
        <w:t xml:space="preserve"> </w:t>
      </w:r>
      <w:r>
        <w:t>T</w:t>
      </w:r>
      <w:r w:rsidRPr="0085169E">
        <w:rPr>
          <w:bCs/>
        </w:rPr>
        <w:t xml:space="preserve">he Bank of England has stated that in the event of failure, banks with assets greater than £25 billion are more likely to be bailed-in than made insolvent, increasing the chance </w:t>
      </w:r>
      <w:r>
        <w:rPr>
          <w:bCs/>
        </w:rPr>
        <w:t>of the council</w:t>
      </w:r>
      <w:r w:rsidRPr="0085169E">
        <w:rPr>
          <w:bCs/>
        </w:rPr>
        <w:t xml:space="preserve"> maintaining operational continuity. </w:t>
      </w:r>
      <w:r w:rsidRPr="003323CA">
        <w:t xml:space="preserve"> </w:t>
      </w:r>
    </w:p>
    <w:p w:rsidR="00F533AC" w:rsidRPr="00D52D02" w:rsidRDefault="00750627">
      <w:pPr>
        <w:spacing w:after="200" w:line="276" w:lineRule="auto"/>
        <w:rPr>
          <w:b/>
          <w:i/>
        </w:rPr>
      </w:pPr>
      <w:r w:rsidRPr="00D52D02">
        <w:rPr>
          <w:b/>
          <w:i/>
        </w:rPr>
        <w:t>Types of Investment</w:t>
      </w:r>
    </w:p>
    <w:p w:rsidR="00F533AC" w:rsidRPr="00A036BF" w:rsidRDefault="00750627" w:rsidP="00F533AC">
      <w:pPr>
        <w:jc w:val="both"/>
      </w:pPr>
      <w:r w:rsidRPr="00A036BF">
        <w:t xml:space="preserve">The </w:t>
      </w:r>
      <w:r>
        <w:t>D</w:t>
      </w:r>
      <w:r w:rsidRPr="00A036BF">
        <w:t xml:space="preserve">CLG </w:t>
      </w:r>
      <w:r>
        <w:t>g</w:t>
      </w:r>
      <w:r w:rsidRPr="00A036BF">
        <w:t>uidance defines two types of investment, firstly specified investments which are those:</w:t>
      </w:r>
    </w:p>
    <w:p w:rsidR="00F533AC" w:rsidRPr="00A036BF" w:rsidRDefault="00057DFB" w:rsidP="00F533AC">
      <w:pPr>
        <w:jc w:val="both"/>
      </w:pPr>
    </w:p>
    <w:p w:rsidR="00F533AC" w:rsidRPr="00A036BF" w:rsidRDefault="00750627" w:rsidP="00F533AC">
      <w:pPr>
        <w:numPr>
          <w:ilvl w:val="0"/>
          <w:numId w:val="2"/>
        </w:numPr>
        <w:jc w:val="both"/>
      </w:pPr>
      <w:r w:rsidRPr="00A036BF">
        <w:t>denominated in pound sterling,</w:t>
      </w:r>
    </w:p>
    <w:p w:rsidR="00F533AC" w:rsidRPr="00A036BF" w:rsidRDefault="00750627" w:rsidP="00F533AC">
      <w:pPr>
        <w:numPr>
          <w:ilvl w:val="0"/>
          <w:numId w:val="2"/>
        </w:numPr>
        <w:jc w:val="both"/>
      </w:pPr>
      <w:r w:rsidRPr="00A036BF">
        <w:t>due to be repaid within 12 months of the arrangement,</w:t>
      </w:r>
    </w:p>
    <w:p w:rsidR="00F533AC" w:rsidRPr="00A036BF" w:rsidRDefault="00750627" w:rsidP="00F533AC">
      <w:pPr>
        <w:numPr>
          <w:ilvl w:val="0"/>
          <w:numId w:val="2"/>
        </w:numPr>
        <w:jc w:val="both"/>
      </w:pPr>
      <w:r w:rsidRPr="00A036BF">
        <w:t>not defined as capital expenditure by legislation, and</w:t>
      </w:r>
    </w:p>
    <w:p w:rsidR="00F533AC" w:rsidRDefault="00750627" w:rsidP="00F533AC">
      <w:pPr>
        <w:numPr>
          <w:ilvl w:val="0"/>
          <w:numId w:val="2"/>
        </w:numPr>
        <w:jc w:val="both"/>
      </w:pPr>
      <w:r w:rsidRPr="00A036BF">
        <w:t xml:space="preserve">invested with </w:t>
      </w:r>
      <w:r>
        <w:t>(</w:t>
      </w:r>
      <w:r w:rsidRPr="00A036BF">
        <w:t>one of</w:t>
      </w:r>
      <w:r>
        <w:t>)</w:t>
      </w:r>
      <w:r w:rsidRPr="00A036BF">
        <w:t>:</w:t>
      </w:r>
    </w:p>
    <w:p w:rsidR="00F533AC" w:rsidRPr="00A036BF" w:rsidRDefault="00057DFB" w:rsidP="00F533AC">
      <w:pPr>
        <w:ind w:left="720"/>
        <w:jc w:val="both"/>
      </w:pPr>
    </w:p>
    <w:p w:rsidR="00F533AC" w:rsidRPr="00A036BF" w:rsidRDefault="00750627" w:rsidP="00F533AC">
      <w:pPr>
        <w:pStyle w:val="ListParagraph"/>
        <w:numPr>
          <w:ilvl w:val="0"/>
          <w:numId w:val="24"/>
        </w:numPr>
        <w:jc w:val="both"/>
      </w:pPr>
      <w:r w:rsidRPr="00A036BF">
        <w:t>the UK Government,</w:t>
      </w:r>
    </w:p>
    <w:p w:rsidR="00F533AC" w:rsidRPr="00A036BF" w:rsidRDefault="00750627" w:rsidP="00F533AC">
      <w:pPr>
        <w:pStyle w:val="ListParagraph"/>
        <w:numPr>
          <w:ilvl w:val="0"/>
          <w:numId w:val="24"/>
        </w:numPr>
        <w:jc w:val="both"/>
      </w:pPr>
      <w:r w:rsidRPr="00A036BF">
        <w:t>a UK local authority, parish council or community council, or</w:t>
      </w:r>
    </w:p>
    <w:p w:rsidR="00F533AC" w:rsidRPr="00A036BF" w:rsidRDefault="00750627" w:rsidP="00F533AC">
      <w:pPr>
        <w:pStyle w:val="ListParagraph"/>
        <w:numPr>
          <w:ilvl w:val="0"/>
          <w:numId w:val="24"/>
        </w:numPr>
        <w:jc w:val="both"/>
      </w:pPr>
      <w:r w:rsidRPr="00A036BF">
        <w:t>a body or investment scheme of “high credit quality”</w:t>
      </w:r>
    </w:p>
    <w:p w:rsidR="00F533AC" w:rsidRPr="00A036BF" w:rsidRDefault="00057DFB" w:rsidP="00F533AC">
      <w:pPr>
        <w:jc w:val="both"/>
      </w:pPr>
    </w:p>
    <w:p w:rsidR="00F533AC" w:rsidRDefault="00750627" w:rsidP="00F533AC">
      <w:pPr>
        <w:jc w:val="both"/>
      </w:pPr>
      <w:r w:rsidRPr="00A036BF">
        <w:t xml:space="preserve">Any investment not meeting the definition of a specified investment is classed as non-specified.  The </w:t>
      </w:r>
      <w:r>
        <w:t>council</w:t>
      </w:r>
      <w:r w:rsidRPr="00A036BF">
        <w:t xml:space="preserve"> will not make any investments with low credit quality bodies, nor any that are defined as capital expenditure by legislation, such as company shares.  </w:t>
      </w:r>
    </w:p>
    <w:p w:rsidR="00F533AC" w:rsidRPr="00A036BF" w:rsidRDefault="00057DFB" w:rsidP="00F533AC">
      <w:pPr>
        <w:jc w:val="both"/>
      </w:pPr>
    </w:p>
    <w:p w:rsidR="00F533AC" w:rsidRDefault="00750627" w:rsidP="00F533AC">
      <w:pPr>
        <w:jc w:val="both"/>
      </w:pPr>
      <w:r w:rsidRPr="005F770C">
        <w:t>The</w:t>
      </w:r>
      <w:r w:rsidRPr="00F861B8">
        <w:t xml:space="preserve"> operational</w:t>
      </w:r>
      <w:r w:rsidRPr="005F770C">
        <w:t xml:space="preserve"> total limit on long-term </w:t>
      </w:r>
      <w:r w:rsidRPr="005B0CCB">
        <w:t xml:space="preserve">investments </w:t>
      </w:r>
      <w:r>
        <w:t>was</w:t>
      </w:r>
      <w:r w:rsidRPr="005B0CCB">
        <w:t xml:space="preserve"> </w:t>
      </w:r>
      <w:r w:rsidRPr="001902E3">
        <w:t>£</w:t>
      </w:r>
      <w:r>
        <w:rPr>
          <w:lang w:eastAsia="en-US"/>
        </w:rPr>
        <w:t>450</w:t>
      </w:r>
      <w:r w:rsidRPr="001902E3">
        <w:t>m</w:t>
      </w:r>
      <w:r>
        <w:t xml:space="preserve"> in 2017/18 but with the anticipated reduction in the council's reserves this is to be reduced to £300m in 2018/19</w:t>
      </w:r>
      <w:r w:rsidRPr="005F770C">
        <w:t xml:space="preserve">. </w:t>
      </w:r>
      <w:r>
        <w:t xml:space="preserve">Investment levels can be made above this with the agreement of the section 151 officer. </w:t>
      </w:r>
    </w:p>
    <w:p w:rsidR="00F533AC" w:rsidRDefault="00057DFB" w:rsidP="00F533AC">
      <w:pPr>
        <w:jc w:val="both"/>
      </w:pPr>
    </w:p>
    <w:p w:rsidR="00F533AC" w:rsidRPr="00F1617C" w:rsidRDefault="00750627" w:rsidP="00F533AC">
      <w:pPr>
        <w:jc w:val="both"/>
      </w:pPr>
      <w:r>
        <w:t xml:space="preserve">Investments are </w:t>
      </w:r>
      <w:r w:rsidRPr="005F770C">
        <w:t>h</w:t>
      </w:r>
      <w:r>
        <w:t>eld in g</w:t>
      </w:r>
      <w:r w:rsidRPr="005B0CCB">
        <w:t xml:space="preserve">overnment and supranational securities, which although </w:t>
      </w:r>
      <w:r>
        <w:t xml:space="preserve">are </w:t>
      </w:r>
      <w:r w:rsidRPr="005B0CCB">
        <w:t xml:space="preserve">highly liquid have maturities in excess of 364 days.  </w:t>
      </w:r>
      <w:r>
        <w:t>In addition the council holds a secondary liquidity investment book of very high quality covered floating rate notes (FRNs) which are typically issued for a 3 to 5 year term. Because these instruments have their rates re-fixed, at current market rates every 3 months, their price shows a very low sensitivity to changes in market rates, so that although under the current accounting regulations they are classified as long term instruments, i</w:t>
      </w:r>
      <w:r w:rsidRPr="005B0CCB">
        <w:t xml:space="preserve">n practice </w:t>
      </w:r>
      <w:r>
        <w:t>they operate as fixed instruments with a maximum of 3 months to maturity and can be liquidated with</w:t>
      </w:r>
      <w:r w:rsidRPr="005B0CCB">
        <w:t xml:space="preserve"> </w:t>
      </w:r>
      <w:r>
        <w:t>one or two</w:t>
      </w:r>
      <w:r w:rsidRPr="005B0CCB">
        <w:t xml:space="preserve"> day</w:t>
      </w:r>
      <w:r>
        <w:t>s'</w:t>
      </w:r>
      <w:r w:rsidRPr="005B0CCB">
        <w:t xml:space="preserve"> notice</w:t>
      </w:r>
      <w:r>
        <w:t>. Therefore the 'long term investments' total contains instruments which operate with a short term horizon and which</w:t>
      </w:r>
      <w:r w:rsidRPr="005B0CCB">
        <w:t xml:space="preserve"> are central to achieving the </w:t>
      </w:r>
      <w:r>
        <w:t>c</w:t>
      </w:r>
      <w:r w:rsidRPr="00F861B8">
        <w:t>ouncil</w:t>
      </w:r>
      <w:r w:rsidRPr="005F770C">
        <w:t xml:space="preserve">'s </w:t>
      </w:r>
      <w:r>
        <w:t xml:space="preserve">security and </w:t>
      </w:r>
      <w:r w:rsidRPr="005F770C">
        <w:t>liquidity objective</w:t>
      </w:r>
      <w:r>
        <w:t>s</w:t>
      </w:r>
      <w:r w:rsidRPr="005F770C">
        <w:t>.</w:t>
      </w:r>
    </w:p>
    <w:p w:rsidR="00F533AC" w:rsidRPr="001143BB" w:rsidRDefault="00057DFB" w:rsidP="00F533AC">
      <w:pPr>
        <w:jc w:val="both"/>
        <w:rPr>
          <w:highlight w:val="yellow"/>
        </w:rPr>
      </w:pPr>
    </w:p>
    <w:p w:rsidR="00F533AC" w:rsidRDefault="00750627" w:rsidP="00F533AC">
      <w:pPr>
        <w:jc w:val="both"/>
      </w:pPr>
      <w:r w:rsidRPr="00A036BF">
        <w:t>In recent times, a wider range of investment instruments within the area of sterling deposits ha</w:t>
      </w:r>
      <w:r>
        <w:t>ve</w:t>
      </w:r>
      <w:r w:rsidRPr="00A036BF">
        <w:t xml:space="preserve"> been developed by financial institutions. All of these afford similar security of capital to basic sterling deposits but they also offer the possibility, although never of course the certainty, of increased returns. The </w:t>
      </w:r>
      <w:r>
        <w:t>section 151 officer</w:t>
      </w:r>
      <w:r w:rsidRPr="00A036BF">
        <w:t xml:space="preserve"> will, in liaison with the </w:t>
      </w:r>
      <w:r>
        <w:t>council</w:t>
      </w:r>
      <w:r w:rsidRPr="00A036BF">
        <w:t xml:space="preserve">’s external advisers, consider the benefits and drawbacks of these instruments and whether any of them are appropriate for the </w:t>
      </w:r>
      <w:r>
        <w:t>council</w:t>
      </w:r>
      <w:r w:rsidRPr="00A036BF">
        <w:t xml:space="preserve">. Because of their relative complexity compared to straightforward term deposits, most of them would fall within the definition of non-specified investments. Decisions on whether to utilise such instruments will be taken after an assessment of whether their use achieves the </w:t>
      </w:r>
      <w:r>
        <w:t>c</w:t>
      </w:r>
      <w:r w:rsidRPr="00A036BF">
        <w:t xml:space="preserve">ouncil's </w:t>
      </w:r>
      <w:r>
        <w:t xml:space="preserve">treasury management </w:t>
      </w:r>
      <w:r w:rsidRPr="00A036BF">
        <w:t>objective</w:t>
      </w:r>
      <w:r>
        <w:t>s</w:t>
      </w:r>
      <w:r w:rsidRPr="00A036BF">
        <w:t>.</w:t>
      </w:r>
    </w:p>
    <w:p w:rsidR="00F533AC" w:rsidRPr="00D635B5" w:rsidRDefault="00057DFB" w:rsidP="00F533AC">
      <w:pPr>
        <w:jc w:val="both"/>
      </w:pPr>
    </w:p>
    <w:p w:rsidR="00F533AC" w:rsidRPr="00240DD0" w:rsidRDefault="00750627" w:rsidP="00F533AC">
      <w:pPr>
        <w:spacing w:after="240"/>
        <w:rPr>
          <w:b/>
          <w:bCs/>
          <w:sz w:val="28"/>
          <w:szCs w:val="28"/>
        </w:rPr>
      </w:pPr>
      <w:r w:rsidRPr="00240DD0">
        <w:rPr>
          <w:b/>
          <w:bCs/>
          <w:sz w:val="28"/>
          <w:szCs w:val="28"/>
        </w:rPr>
        <w:t>Policy on the Use of Financial Derivatives</w:t>
      </w:r>
    </w:p>
    <w:p w:rsidR="00F533AC" w:rsidRDefault="00750627" w:rsidP="00F533AC">
      <w:pPr>
        <w:jc w:val="both"/>
      </w:pPr>
      <w:r w:rsidRPr="002A48EA">
        <w:t xml:space="preserve">The </w:t>
      </w:r>
      <w:r>
        <w:t>council</w:t>
      </w:r>
      <w:r w:rsidRPr="002A48EA">
        <w:t xml:space="preserve"> will only use financial derivatives (such as swaps, forwards, futures and options) on a standalone basis, where it can clearly</w:t>
      </w:r>
      <w:r>
        <w:t xml:space="preserve"> be</w:t>
      </w:r>
      <w:r w:rsidRPr="002A48EA">
        <w:t xml:space="preserve"> demonstrated that as part of the prudent management of the </w:t>
      </w:r>
      <w:r>
        <w:t>co</w:t>
      </w:r>
      <w:r w:rsidRPr="002A48EA">
        <w:t xml:space="preserve">uncil's financial affairs the use of financial derivatives will have the effect of reducing the level of financial risks that the </w:t>
      </w:r>
      <w:r>
        <w:t xml:space="preserve"> c</w:t>
      </w:r>
      <w:r w:rsidRPr="002A48EA">
        <w:t xml:space="preserve">ouncil is exposed to.  </w:t>
      </w:r>
      <w:r w:rsidRPr="00735953">
        <w:t>Additional risks presented, such as credit exposure to derivative counterparties, will be taken into account when determining the overall level of risk.</w:t>
      </w:r>
      <w:r w:rsidRPr="002A48EA">
        <w:t xml:space="preserve">  </w:t>
      </w:r>
      <w:r>
        <w:t>Many embedded derivatives are already used by local authorities across England and Wales including Lancashire, although unlike the government, commercial sector and other public service areas stand-alone derivatives have not generally been used.</w:t>
      </w:r>
    </w:p>
    <w:p w:rsidR="00F533AC" w:rsidRDefault="00057DFB" w:rsidP="00F533AC">
      <w:pPr>
        <w:pStyle w:val="ListParagraph"/>
        <w:ind w:left="0"/>
        <w:jc w:val="both"/>
      </w:pPr>
    </w:p>
    <w:p w:rsidR="00F533AC" w:rsidRDefault="00750627" w:rsidP="00F533AC">
      <w:pPr>
        <w:jc w:val="both"/>
      </w:pPr>
      <w:r>
        <w:t>A derivative is a financial instrument with three main features:</w:t>
      </w:r>
    </w:p>
    <w:p w:rsidR="00F533AC" w:rsidRDefault="00057DFB" w:rsidP="00F533AC">
      <w:pPr>
        <w:jc w:val="both"/>
      </w:pPr>
    </w:p>
    <w:p w:rsidR="00F533AC" w:rsidRDefault="00750627" w:rsidP="00F533AC">
      <w:pPr>
        <w:pStyle w:val="ListParagraph"/>
        <w:numPr>
          <w:ilvl w:val="0"/>
          <w:numId w:val="12"/>
        </w:numPr>
        <w:ind w:left="426" w:hanging="225"/>
        <w:jc w:val="both"/>
      </w:pPr>
      <w:r>
        <w:t xml:space="preserve">The value changes in response to an underlying variable. </w:t>
      </w:r>
    </w:p>
    <w:p w:rsidR="00F533AC" w:rsidRDefault="00750627" w:rsidP="00F533AC">
      <w:pPr>
        <w:pStyle w:val="ListParagraph"/>
        <w:numPr>
          <w:ilvl w:val="0"/>
          <w:numId w:val="12"/>
        </w:numPr>
        <w:ind w:left="426" w:hanging="225"/>
        <w:jc w:val="both"/>
      </w:pPr>
      <w:r>
        <w:t>The transaction requires no initial investment, or an initial net investment smaller than would be required for other types of contract with a similar expected response to market changes.</w:t>
      </w:r>
    </w:p>
    <w:p w:rsidR="00F533AC" w:rsidRDefault="00750627" w:rsidP="00F533AC">
      <w:pPr>
        <w:pStyle w:val="ListParagraph"/>
        <w:numPr>
          <w:ilvl w:val="0"/>
          <w:numId w:val="12"/>
        </w:numPr>
        <w:ind w:left="426" w:hanging="225"/>
        <w:jc w:val="both"/>
      </w:pPr>
      <w:r>
        <w:t>The contract is settled at a predetermined future date.</w:t>
      </w:r>
    </w:p>
    <w:p w:rsidR="00F533AC" w:rsidRDefault="00057DFB" w:rsidP="00F533AC">
      <w:pPr>
        <w:pStyle w:val="ListParagraph"/>
        <w:ind w:left="1500"/>
        <w:jc w:val="both"/>
      </w:pPr>
    </w:p>
    <w:p w:rsidR="00F533AC" w:rsidRDefault="00750627" w:rsidP="00F533AC">
      <w:pPr>
        <w:pStyle w:val="ListParagraph"/>
        <w:ind w:left="0"/>
        <w:jc w:val="both"/>
      </w:pPr>
      <w:r>
        <w:lastRenderedPageBreak/>
        <w:t>The underlying variable represents an existing external risk for which the hedge is required. Examples are a specified interest rate, a commodity price, a credit rating, a foreign exchange rate or any other variable, however as the council's treasury activity is not directly exposed to all of these risks, for example foreign exchange or commodity prices, the council’s use of derivatives would</w:t>
      </w:r>
      <w:r w:rsidRPr="00AA245E">
        <w:t xml:space="preserve"> be restricted to the management and hedging of interest and inflation rate risk only. </w:t>
      </w:r>
    </w:p>
    <w:p w:rsidR="00F533AC" w:rsidRDefault="00057DFB" w:rsidP="00F533AC">
      <w:pPr>
        <w:pStyle w:val="ListParagraph"/>
        <w:ind w:left="0"/>
        <w:jc w:val="both"/>
      </w:pPr>
    </w:p>
    <w:p w:rsidR="00F533AC" w:rsidRDefault="00750627" w:rsidP="00F533AC">
      <w:pPr>
        <w:pStyle w:val="ListParagraph"/>
        <w:ind w:left="0"/>
        <w:jc w:val="both"/>
      </w:pPr>
      <w:r>
        <w:t>The embedded and standalone derivatives which can be used by the council to manage interest rate risk are summarised as follows:</w:t>
      </w:r>
    </w:p>
    <w:p w:rsidR="00F533AC" w:rsidRDefault="00057DFB" w:rsidP="00F533AC">
      <w:pPr>
        <w:pStyle w:val="ListParagraph"/>
        <w:ind w:left="0"/>
        <w:jc w:val="both"/>
      </w:pPr>
    </w:p>
    <w:tbl>
      <w:tblPr>
        <w:tblStyle w:val="TableGrid"/>
        <w:tblW w:w="9053" w:type="dxa"/>
        <w:tblLayout w:type="fixed"/>
        <w:tblLook w:val="04A0" w:firstRow="1" w:lastRow="0" w:firstColumn="1" w:lastColumn="0" w:noHBand="0" w:noVBand="1"/>
      </w:tblPr>
      <w:tblGrid>
        <w:gridCol w:w="1271"/>
        <w:gridCol w:w="2411"/>
        <w:gridCol w:w="2930"/>
        <w:gridCol w:w="2441"/>
      </w:tblGrid>
      <w:tr w:rsidR="00CB5B91" w:rsidTr="00F533AC">
        <w:tc>
          <w:tcPr>
            <w:tcW w:w="1271" w:type="dxa"/>
          </w:tcPr>
          <w:p w:rsidR="00F533AC" w:rsidRPr="004977DB" w:rsidRDefault="00750627" w:rsidP="00F533AC">
            <w:pPr>
              <w:pStyle w:val="ListParagraph"/>
              <w:ind w:left="0"/>
              <w:jc w:val="both"/>
              <w:rPr>
                <w:b/>
                <w:sz w:val="22"/>
                <w:szCs w:val="22"/>
              </w:rPr>
            </w:pPr>
            <w:r w:rsidRPr="004977DB">
              <w:rPr>
                <w:b/>
                <w:sz w:val="22"/>
                <w:szCs w:val="22"/>
              </w:rPr>
              <w:t>Class</w:t>
            </w:r>
          </w:p>
        </w:tc>
        <w:tc>
          <w:tcPr>
            <w:tcW w:w="2411" w:type="dxa"/>
          </w:tcPr>
          <w:p w:rsidR="00F533AC" w:rsidRPr="004977DB" w:rsidRDefault="00750627" w:rsidP="00F533AC">
            <w:pPr>
              <w:pStyle w:val="ListParagraph"/>
              <w:ind w:left="0"/>
              <w:jc w:val="both"/>
              <w:rPr>
                <w:b/>
                <w:sz w:val="22"/>
                <w:szCs w:val="22"/>
              </w:rPr>
            </w:pPr>
            <w:r w:rsidRPr="004977DB">
              <w:rPr>
                <w:b/>
                <w:sz w:val="22"/>
                <w:szCs w:val="22"/>
              </w:rPr>
              <w:t>Use</w:t>
            </w:r>
          </w:p>
        </w:tc>
        <w:tc>
          <w:tcPr>
            <w:tcW w:w="2930" w:type="dxa"/>
          </w:tcPr>
          <w:p w:rsidR="00F533AC" w:rsidRPr="004977DB" w:rsidRDefault="00750627" w:rsidP="00F533AC">
            <w:pPr>
              <w:pStyle w:val="ListParagraph"/>
              <w:ind w:left="0"/>
              <w:jc w:val="both"/>
              <w:rPr>
                <w:b/>
                <w:sz w:val="22"/>
                <w:szCs w:val="22"/>
              </w:rPr>
            </w:pPr>
            <w:r w:rsidRPr="004977DB">
              <w:rPr>
                <w:b/>
                <w:sz w:val="22"/>
                <w:szCs w:val="22"/>
              </w:rPr>
              <w:t>Standalone</w:t>
            </w:r>
          </w:p>
        </w:tc>
        <w:tc>
          <w:tcPr>
            <w:tcW w:w="2441" w:type="dxa"/>
          </w:tcPr>
          <w:p w:rsidR="00F533AC" w:rsidRPr="004977DB" w:rsidRDefault="00750627" w:rsidP="00F533AC">
            <w:pPr>
              <w:pStyle w:val="ListParagraph"/>
              <w:ind w:left="0"/>
              <w:jc w:val="both"/>
              <w:rPr>
                <w:b/>
                <w:sz w:val="22"/>
                <w:szCs w:val="22"/>
              </w:rPr>
            </w:pPr>
            <w:r w:rsidRPr="004977DB">
              <w:rPr>
                <w:b/>
                <w:sz w:val="22"/>
                <w:szCs w:val="22"/>
              </w:rPr>
              <w:t>Embedded</w:t>
            </w:r>
          </w:p>
        </w:tc>
      </w:tr>
      <w:tr w:rsidR="00CB5B91" w:rsidTr="00F533AC">
        <w:tc>
          <w:tcPr>
            <w:tcW w:w="1271" w:type="dxa"/>
          </w:tcPr>
          <w:p w:rsidR="00F533AC" w:rsidRPr="001D77BE" w:rsidRDefault="00750627" w:rsidP="00F533AC">
            <w:pPr>
              <w:pStyle w:val="ListParagraph"/>
              <w:ind w:left="0"/>
              <w:jc w:val="both"/>
              <w:rPr>
                <w:sz w:val="22"/>
                <w:szCs w:val="22"/>
              </w:rPr>
            </w:pPr>
            <w:r w:rsidRPr="001D77BE">
              <w:rPr>
                <w:sz w:val="22"/>
                <w:szCs w:val="22"/>
              </w:rPr>
              <w:t>Forwards</w:t>
            </w:r>
          </w:p>
        </w:tc>
        <w:tc>
          <w:tcPr>
            <w:tcW w:w="2411" w:type="dxa"/>
          </w:tcPr>
          <w:p w:rsidR="00F533AC" w:rsidRPr="006F41E0" w:rsidRDefault="00750627" w:rsidP="00F533AC">
            <w:pPr>
              <w:pStyle w:val="ListParagraph"/>
              <w:ind w:left="0"/>
              <w:rPr>
                <w:sz w:val="22"/>
                <w:szCs w:val="22"/>
              </w:rPr>
            </w:pPr>
            <w:r w:rsidRPr="006F41E0">
              <w:rPr>
                <w:sz w:val="22"/>
                <w:szCs w:val="22"/>
              </w:rPr>
              <w:t>To fix an interest or inflation rate for a single period in the future</w:t>
            </w:r>
          </w:p>
        </w:tc>
        <w:tc>
          <w:tcPr>
            <w:tcW w:w="2930" w:type="dxa"/>
          </w:tcPr>
          <w:p w:rsidR="00F533AC" w:rsidRPr="006F41E0" w:rsidRDefault="00750627" w:rsidP="00F533AC">
            <w:pPr>
              <w:pStyle w:val="ListParagraph"/>
              <w:ind w:left="0"/>
              <w:rPr>
                <w:sz w:val="22"/>
                <w:szCs w:val="22"/>
              </w:rPr>
            </w:pPr>
            <w:r w:rsidRPr="006F41E0">
              <w:rPr>
                <w:sz w:val="22"/>
                <w:szCs w:val="22"/>
              </w:rPr>
              <w:t>Forward Rate Agreement (FRA), gilt lock, interest rate  or gilt futures</w:t>
            </w:r>
          </w:p>
        </w:tc>
        <w:tc>
          <w:tcPr>
            <w:tcW w:w="2441" w:type="dxa"/>
          </w:tcPr>
          <w:p w:rsidR="00F533AC" w:rsidRPr="006F41E0" w:rsidRDefault="00750627" w:rsidP="00F533AC">
            <w:pPr>
              <w:pStyle w:val="ListParagraph"/>
              <w:ind w:left="0"/>
              <w:rPr>
                <w:sz w:val="22"/>
                <w:szCs w:val="22"/>
              </w:rPr>
            </w:pPr>
            <w:r w:rsidRPr="006F41E0">
              <w:rPr>
                <w:sz w:val="22"/>
                <w:szCs w:val="22"/>
              </w:rPr>
              <w:t>Forward Deal</w:t>
            </w:r>
          </w:p>
        </w:tc>
      </w:tr>
      <w:tr w:rsidR="00CB5B91" w:rsidTr="00F533AC">
        <w:tc>
          <w:tcPr>
            <w:tcW w:w="1271" w:type="dxa"/>
          </w:tcPr>
          <w:p w:rsidR="00F533AC" w:rsidRPr="001D77BE" w:rsidRDefault="00750627" w:rsidP="00F533AC">
            <w:pPr>
              <w:pStyle w:val="ListParagraph"/>
              <w:ind w:left="0"/>
              <w:jc w:val="both"/>
              <w:rPr>
                <w:sz w:val="22"/>
                <w:szCs w:val="22"/>
              </w:rPr>
            </w:pPr>
            <w:r w:rsidRPr="001D77BE">
              <w:rPr>
                <w:sz w:val="22"/>
                <w:szCs w:val="22"/>
              </w:rPr>
              <w:t>Swaps</w:t>
            </w:r>
          </w:p>
        </w:tc>
        <w:tc>
          <w:tcPr>
            <w:tcW w:w="2411" w:type="dxa"/>
          </w:tcPr>
          <w:p w:rsidR="00F533AC" w:rsidRDefault="00750627" w:rsidP="00F533AC">
            <w:pPr>
              <w:pStyle w:val="ListParagraph"/>
              <w:ind w:left="0"/>
              <w:rPr>
                <w:sz w:val="22"/>
                <w:szCs w:val="22"/>
              </w:rPr>
            </w:pPr>
            <w:r w:rsidRPr="006F41E0">
              <w:rPr>
                <w:sz w:val="22"/>
                <w:szCs w:val="22"/>
              </w:rPr>
              <w:t xml:space="preserve">To exchange interest  or inflation rate exposures </w:t>
            </w:r>
          </w:p>
          <w:p w:rsidR="00F533AC" w:rsidRPr="001D77BE" w:rsidRDefault="00750627" w:rsidP="00F533AC">
            <w:pPr>
              <w:pStyle w:val="ListParagraph"/>
              <w:ind w:left="0"/>
              <w:rPr>
                <w:sz w:val="22"/>
                <w:szCs w:val="22"/>
              </w:rPr>
            </w:pPr>
            <w:r w:rsidRPr="001D77BE">
              <w:rPr>
                <w:sz w:val="22"/>
                <w:szCs w:val="22"/>
              </w:rPr>
              <w:t>(</w:t>
            </w:r>
            <w:proofErr w:type="spellStart"/>
            <w:r w:rsidRPr="001D77BE">
              <w:rPr>
                <w:sz w:val="22"/>
                <w:szCs w:val="22"/>
              </w:rPr>
              <w:t>eg</w:t>
            </w:r>
            <w:proofErr w:type="spellEnd"/>
            <w:r w:rsidRPr="001D77BE">
              <w:rPr>
                <w:sz w:val="22"/>
                <w:szCs w:val="22"/>
              </w:rPr>
              <w:t>. fixed to floating)</w:t>
            </w:r>
          </w:p>
        </w:tc>
        <w:tc>
          <w:tcPr>
            <w:tcW w:w="2930" w:type="dxa"/>
          </w:tcPr>
          <w:p w:rsidR="00F533AC" w:rsidRPr="006F41E0" w:rsidRDefault="00750627" w:rsidP="00F533AC">
            <w:pPr>
              <w:pStyle w:val="ListParagraph"/>
              <w:ind w:left="0"/>
              <w:rPr>
                <w:sz w:val="22"/>
                <w:szCs w:val="22"/>
              </w:rPr>
            </w:pPr>
            <w:r w:rsidRPr="006F41E0">
              <w:rPr>
                <w:sz w:val="22"/>
                <w:szCs w:val="22"/>
              </w:rPr>
              <w:t xml:space="preserve">Interest or inflation rate swap (IRS), </w:t>
            </w:r>
            <w:r>
              <w:rPr>
                <w:sz w:val="22"/>
                <w:szCs w:val="22"/>
              </w:rPr>
              <w:t>b</w:t>
            </w:r>
            <w:r w:rsidRPr="006F41E0">
              <w:rPr>
                <w:sz w:val="22"/>
                <w:szCs w:val="22"/>
              </w:rPr>
              <w:t>asis swap.</w:t>
            </w:r>
          </w:p>
        </w:tc>
        <w:tc>
          <w:tcPr>
            <w:tcW w:w="2441" w:type="dxa"/>
          </w:tcPr>
          <w:p w:rsidR="00F533AC" w:rsidRPr="006F41E0" w:rsidRDefault="00750627" w:rsidP="00F533AC">
            <w:pPr>
              <w:pStyle w:val="ListParagraph"/>
              <w:ind w:left="0"/>
              <w:rPr>
                <w:sz w:val="22"/>
                <w:szCs w:val="22"/>
              </w:rPr>
            </w:pPr>
            <w:r w:rsidRPr="006F41E0">
              <w:rPr>
                <w:sz w:val="22"/>
                <w:szCs w:val="22"/>
              </w:rPr>
              <w:t>Variable rate deposit, Floating rate note</w:t>
            </w:r>
          </w:p>
        </w:tc>
      </w:tr>
      <w:tr w:rsidR="00CB5B91" w:rsidTr="00F533AC">
        <w:trPr>
          <w:trHeight w:val="574"/>
        </w:trPr>
        <w:tc>
          <w:tcPr>
            <w:tcW w:w="1271" w:type="dxa"/>
          </w:tcPr>
          <w:p w:rsidR="00F533AC" w:rsidRPr="001D77BE" w:rsidRDefault="00750627" w:rsidP="00F533AC">
            <w:pPr>
              <w:pStyle w:val="ListParagraph"/>
              <w:ind w:left="0"/>
              <w:jc w:val="both"/>
              <w:rPr>
                <w:sz w:val="22"/>
                <w:szCs w:val="22"/>
              </w:rPr>
            </w:pPr>
            <w:r w:rsidRPr="001D77BE">
              <w:rPr>
                <w:sz w:val="22"/>
                <w:szCs w:val="22"/>
              </w:rPr>
              <w:t>Purchased Options</w:t>
            </w:r>
          </w:p>
        </w:tc>
        <w:tc>
          <w:tcPr>
            <w:tcW w:w="2411" w:type="dxa"/>
          </w:tcPr>
          <w:p w:rsidR="00F533AC" w:rsidRPr="006F41E0" w:rsidRDefault="00750627" w:rsidP="00F533AC">
            <w:pPr>
              <w:pStyle w:val="ListParagraph"/>
              <w:ind w:left="0"/>
              <w:rPr>
                <w:sz w:val="22"/>
                <w:szCs w:val="22"/>
              </w:rPr>
            </w:pPr>
            <w:r w:rsidRPr="006F41E0">
              <w:rPr>
                <w:sz w:val="22"/>
                <w:szCs w:val="22"/>
              </w:rPr>
              <w:t>The right but no obligation to fix an interest or inflation rate in exchange for paying a premium</w:t>
            </w:r>
          </w:p>
        </w:tc>
        <w:tc>
          <w:tcPr>
            <w:tcW w:w="2930" w:type="dxa"/>
          </w:tcPr>
          <w:p w:rsidR="00F533AC" w:rsidRPr="006F41E0" w:rsidRDefault="00750627" w:rsidP="00F533AC">
            <w:pPr>
              <w:pStyle w:val="ListParagraph"/>
              <w:ind w:left="0"/>
              <w:rPr>
                <w:sz w:val="22"/>
                <w:szCs w:val="22"/>
              </w:rPr>
            </w:pPr>
            <w:r w:rsidRPr="006F41E0">
              <w:rPr>
                <w:sz w:val="22"/>
                <w:szCs w:val="22"/>
              </w:rPr>
              <w:t xml:space="preserve">Caps, floors, collars, </w:t>
            </w:r>
            <w:proofErr w:type="spellStart"/>
            <w:r w:rsidRPr="006F41E0">
              <w:rPr>
                <w:sz w:val="22"/>
                <w:szCs w:val="22"/>
              </w:rPr>
              <w:t>swaptions</w:t>
            </w:r>
            <w:proofErr w:type="spellEnd"/>
            <w:r w:rsidRPr="006F41E0">
              <w:rPr>
                <w:sz w:val="22"/>
                <w:szCs w:val="22"/>
              </w:rPr>
              <w:t>, puts, calls</w:t>
            </w:r>
          </w:p>
        </w:tc>
        <w:tc>
          <w:tcPr>
            <w:tcW w:w="2441" w:type="dxa"/>
          </w:tcPr>
          <w:p w:rsidR="00F533AC" w:rsidRPr="006F41E0" w:rsidRDefault="00750627" w:rsidP="00F533AC">
            <w:pPr>
              <w:pStyle w:val="ListParagraph"/>
              <w:ind w:left="0"/>
              <w:rPr>
                <w:sz w:val="22"/>
                <w:szCs w:val="22"/>
              </w:rPr>
            </w:pPr>
            <w:r w:rsidRPr="006F41E0">
              <w:rPr>
                <w:sz w:val="22"/>
                <w:szCs w:val="22"/>
              </w:rPr>
              <w:t>Callable loan</w:t>
            </w:r>
          </w:p>
          <w:p w:rsidR="00F533AC" w:rsidRPr="006F41E0" w:rsidRDefault="00750627" w:rsidP="00F533AC">
            <w:pPr>
              <w:pStyle w:val="ListParagraph"/>
              <w:ind w:left="0"/>
              <w:rPr>
                <w:sz w:val="22"/>
                <w:szCs w:val="22"/>
              </w:rPr>
            </w:pPr>
            <w:r w:rsidRPr="006F41E0">
              <w:rPr>
                <w:sz w:val="22"/>
                <w:szCs w:val="22"/>
              </w:rPr>
              <w:t>Collared deposit</w:t>
            </w:r>
          </w:p>
        </w:tc>
      </w:tr>
    </w:tbl>
    <w:p w:rsidR="00F533AC" w:rsidRDefault="00057DFB" w:rsidP="00F533AC">
      <w:pPr>
        <w:jc w:val="both"/>
      </w:pPr>
    </w:p>
    <w:p w:rsidR="00F533AC" w:rsidRPr="00BF0506" w:rsidRDefault="00750627" w:rsidP="00F533AC">
      <w:pPr>
        <w:jc w:val="both"/>
      </w:pPr>
      <w:r w:rsidRPr="00BF0506">
        <w:t xml:space="preserve">The </w:t>
      </w:r>
      <w:r>
        <w:t>c</w:t>
      </w:r>
      <w:r w:rsidRPr="00BF0506">
        <w:t xml:space="preserve">ouncil will not sell interest rate or inflation rate options, (i.e. give another party the right to fix a rate) since these cannot reduce the </w:t>
      </w:r>
      <w:r>
        <w:t>c</w:t>
      </w:r>
      <w:r w:rsidRPr="00BF0506">
        <w:t>ouncil’s risk. The only exception is where a sold option is combined with a purchased option of equal or higher premium to create a collar.</w:t>
      </w:r>
    </w:p>
    <w:p w:rsidR="00F533AC" w:rsidRPr="002A48EA" w:rsidRDefault="00057DFB" w:rsidP="00F533AC">
      <w:pPr>
        <w:jc w:val="both"/>
      </w:pPr>
    </w:p>
    <w:p w:rsidR="00F533AC" w:rsidRDefault="00750627" w:rsidP="00F533AC">
      <w:pPr>
        <w:jc w:val="both"/>
      </w:pPr>
      <w:r>
        <w:t xml:space="preserve">There are two methods of engaging in derivative contracts, exchange traded or settled derivatives and over the counter (OTC) derivatives. The former are available in public markets and trade over a physical exchange with a clearing house acting as an intermediary and include futures and options. OTC contracts are privately negotiated and traded between two counterparties and can include swaps and forwards. </w:t>
      </w:r>
    </w:p>
    <w:p w:rsidR="00F533AC" w:rsidRDefault="00057DFB" w:rsidP="00F533AC">
      <w:pPr>
        <w:jc w:val="both"/>
      </w:pPr>
    </w:p>
    <w:p w:rsidR="00F533AC" w:rsidRDefault="00750627" w:rsidP="00F533AC">
      <w:pPr>
        <w:jc w:val="both"/>
      </w:pPr>
      <w:r>
        <w:t>In a derivative contract both parties are often required to provide collateral (i.e. pools of valuable and liquid assets set aside specifically to back liabilities arising from the contract) to reduce credit risk. The method of assessing counterparty quality and suitability of collateral within the structure of the contracts is shown as follows:</w:t>
      </w:r>
    </w:p>
    <w:p w:rsidR="00F533AC" w:rsidRDefault="00057DFB" w:rsidP="00F533AC">
      <w:pPr>
        <w:jc w:val="both"/>
      </w:pPr>
    </w:p>
    <w:tbl>
      <w:tblPr>
        <w:tblStyle w:val="TableGrid"/>
        <w:tblW w:w="8926" w:type="dxa"/>
        <w:tblLayout w:type="fixed"/>
        <w:tblLook w:val="04A0" w:firstRow="1" w:lastRow="0" w:firstColumn="1" w:lastColumn="0" w:noHBand="0" w:noVBand="1"/>
      </w:tblPr>
      <w:tblGrid>
        <w:gridCol w:w="2268"/>
        <w:gridCol w:w="2405"/>
        <w:gridCol w:w="2126"/>
        <w:gridCol w:w="2127"/>
      </w:tblGrid>
      <w:tr w:rsidR="00CB5B91" w:rsidTr="00F533AC">
        <w:trPr>
          <w:trHeight w:val="284"/>
        </w:trPr>
        <w:tc>
          <w:tcPr>
            <w:tcW w:w="2268" w:type="dxa"/>
          </w:tcPr>
          <w:p w:rsidR="00F533AC" w:rsidRPr="004977DB" w:rsidRDefault="00750627" w:rsidP="00F533AC">
            <w:pPr>
              <w:jc w:val="both"/>
              <w:rPr>
                <w:b/>
                <w:sz w:val="22"/>
                <w:szCs w:val="22"/>
              </w:rPr>
            </w:pPr>
            <w:r w:rsidRPr="004977DB">
              <w:rPr>
                <w:b/>
                <w:sz w:val="22"/>
                <w:szCs w:val="22"/>
              </w:rPr>
              <w:t>Product</w:t>
            </w:r>
          </w:p>
        </w:tc>
        <w:tc>
          <w:tcPr>
            <w:tcW w:w="2405" w:type="dxa"/>
          </w:tcPr>
          <w:p w:rsidR="00F533AC" w:rsidRPr="004977DB" w:rsidRDefault="00750627" w:rsidP="00F533AC">
            <w:pPr>
              <w:rPr>
                <w:b/>
                <w:sz w:val="22"/>
                <w:szCs w:val="22"/>
              </w:rPr>
            </w:pPr>
            <w:r w:rsidRPr="004977DB">
              <w:rPr>
                <w:b/>
                <w:sz w:val="22"/>
                <w:szCs w:val="22"/>
              </w:rPr>
              <w:t>Counterparty Quality</w:t>
            </w:r>
          </w:p>
        </w:tc>
        <w:tc>
          <w:tcPr>
            <w:tcW w:w="2126" w:type="dxa"/>
          </w:tcPr>
          <w:p w:rsidR="00F533AC" w:rsidRPr="004977DB" w:rsidRDefault="00750627" w:rsidP="00F533AC">
            <w:pPr>
              <w:jc w:val="both"/>
              <w:rPr>
                <w:b/>
                <w:sz w:val="22"/>
                <w:szCs w:val="22"/>
              </w:rPr>
            </w:pPr>
            <w:r w:rsidRPr="004977DB">
              <w:rPr>
                <w:b/>
                <w:sz w:val="22"/>
                <w:szCs w:val="22"/>
              </w:rPr>
              <w:t>Security</w:t>
            </w:r>
          </w:p>
        </w:tc>
        <w:tc>
          <w:tcPr>
            <w:tcW w:w="2127" w:type="dxa"/>
          </w:tcPr>
          <w:p w:rsidR="00F533AC" w:rsidRPr="004977DB" w:rsidRDefault="00750627" w:rsidP="00F533AC">
            <w:pPr>
              <w:jc w:val="both"/>
              <w:rPr>
                <w:b/>
                <w:sz w:val="22"/>
                <w:szCs w:val="22"/>
              </w:rPr>
            </w:pPr>
            <w:r w:rsidRPr="004977DB">
              <w:rPr>
                <w:b/>
                <w:sz w:val="22"/>
                <w:szCs w:val="22"/>
              </w:rPr>
              <w:t>Method</w:t>
            </w:r>
          </w:p>
        </w:tc>
      </w:tr>
      <w:tr w:rsidR="00CB5B91" w:rsidTr="00F533AC">
        <w:trPr>
          <w:trHeight w:val="447"/>
        </w:trPr>
        <w:tc>
          <w:tcPr>
            <w:tcW w:w="2268" w:type="dxa"/>
          </w:tcPr>
          <w:p w:rsidR="00F533AC" w:rsidRPr="00240DD0" w:rsidRDefault="00750627" w:rsidP="00F533AC">
            <w:pPr>
              <w:rPr>
                <w:sz w:val="22"/>
                <w:szCs w:val="22"/>
              </w:rPr>
            </w:pPr>
            <w:r w:rsidRPr="00240DD0">
              <w:rPr>
                <w:sz w:val="22"/>
                <w:szCs w:val="22"/>
              </w:rPr>
              <w:t>Exchange traded or cleared product</w:t>
            </w:r>
          </w:p>
        </w:tc>
        <w:tc>
          <w:tcPr>
            <w:tcW w:w="2405" w:type="dxa"/>
          </w:tcPr>
          <w:p w:rsidR="00F533AC" w:rsidRPr="00240DD0" w:rsidRDefault="00750627" w:rsidP="00F533AC">
            <w:pPr>
              <w:rPr>
                <w:sz w:val="22"/>
                <w:szCs w:val="22"/>
              </w:rPr>
            </w:pPr>
            <w:r w:rsidRPr="00240DD0">
              <w:rPr>
                <w:sz w:val="22"/>
                <w:szCs w:val="22"/>
              </w:rPr>
              <w:t>Credit rating of exchange</w:t>
            </w:r>
          </w:p>
        </w:tc>
        <w:tc>
          <w:tcPr>
            <w:tcW w:w="2126" w:type="dxa"/>
          </w:tcPr>
          <w:p w:rsidR="00F533AC" w:rsidRPr="00240DD0" w:rsidRDefault="00750627" w:rsidP="00F533AC">
            <w:pPr>
              <w:rPr>
                <w:sz w:val="22"/>
                <w:szCs w:val="22"/>
              </w:rPr>
            </w:pPr>
            <w:r w:rsidRPr="00240DD0">
              <w:rPr>
                <w:sz w:val="22"/>
                <w:szCs w:val="22"/>
              </w:rPr>
              <w:t>Credit rating of Clearing agent</w:t>
            </w:r>
          </w:p>
        </w:tc>
        <w:tc>
          <w:tcPr>
            <w:tcW w:w="2127" w:type="dxa"/>
          </w:tcPr>
          <w:p w:rsidR="00F533AC" w:rsidRPr="00240DD0" w:rsidRDefault="00750627" w:rsidP="00F533AC">
            <w:pPr>
              <w:rPr>
                <w:sz w:val="22"/>
                <w:szCs w:val="22"/>
              </w:rPr>
            </w:pPr>
            <w:r w:rsidRPr="00240DD0">
              <w:rPr>
                <w:sz w:val="22"/>
                <w:szCs w:val="22"/>
              </w:rPr>
              <w:t xml:space="preserve">Margin netting </w:t>
            </w:r>
          </w:p>
        </w:tc>
      </w:tr>
      <w:tr w:rsidR="00CB5B91" w:rsidTr="00F533AC">
        <w:trPr>
          <w:trHeight w:val="447"/>
        </w:trPr>
        <w:tc>
          <w:tcPr>
            <w:tcW w:w="2268" w:type="dxa"/>
          </w:tcPr>
          <w:p w:rsidR="00F533AC" w:rsidRPr="00240DD0" w:rsidRDefault="00750627" w:rsidP="00F533AC">
            <w:pPr>
              <w:rPr>
                <w:sz w:val="22"/>
                <w:szCs w:val="22"/>
              </w:rPr>
            </w:pPr>
            <w:r w:rsidRPr="00240DD0">
              <w:rPr>
                <w:sz w:val="22"/>
                <w:szCs w:val="22"/>
              </w:rPr>
              <w:t>Bilateral FRAs and  swaps assuming netting</w:t>
            </w:r>
          </w:p>
        </w:tc>
        <w:tc>
          <w:tcPr>
            <w:tcW w:w="2405" w:type="dxa"/>
          </w:tcPr>
          <w:p w:rsidR="00F533AC" w:rsidRPr="00240DD0" w:rsidRDefault="00750627" w:rsidP="00F533AC">
            <w:pPr>
              <w:rPr>
                <w:sz w:val="22"/>
                <w:szCs w:val="22"/>
              </w:rPr>
            </w:pPr>
            <w:r w:rsidRPr="00240DD0">
              <w:rPr>
                <w:sz w:val="22"/>
                <w:szCs w:val="22"/>
              </w:rPr>
              <w:t>Credit rating of counterparty</w:t>
            </w:r>
          </w:p>
        </w:tc>
        <w:tc>
          <w:tcPr>
            <w:tcW w:w="2126" w:type="dxa"/>
          </w:tcPr>
          <w:p w:rsidR="00F533AC" w:rsidRPr="00240DD0" w:rsidRDefault="00750627" w:rsidP="00F533AC">
            <w:pPr>
              <w:rPr>
                <w:sz w:val="22"/>
                <w:szCs w:val="22"/>
              </w:rPr>
            </w:pPr>
            <w:r w:rsidRPr="00240DD0">
              <w:rPr>
                <w:sz w:val="22"/>
                <w:szCs w:val="22"/>
              </w:rPr>
              <w:t>Full 2-way collateral arrangements</w:t>
            </w:r>
          </w:p>
        </w:tc>
        <w:tc>
          <w:tcPr>
            <w:tcW w:w="2127" w:type="dxa"/>
          </w:tcPr>
          <w:p w:rsidR="00F533AC" w:rsidRPr="00240DD0" w:rsidRDefault="00750627" w:rsidP="00F533AC">
            <w:pPr>
              <w:rPr>
                <w:sz w:val="22"/>
                <w:szCs w:val="22"/>
              </w:rPr>
            </w:pPr>
            <w:r w:rsidRPr="00240DD0">
              <w:rPr>
                <w:sz w:val="22"/>
                <w:szCs w:val="22"/>
              </w:rPr>
              <w:t>Types of collateral agreed and any haircuts</w:t>
            </w:r>
          </w:p>
        </w:tc>
      </w:tr>
      <w:tr w:rsidR="00CB5B91" w:rsidTr="00F533AC">
        <w:trPr>
          <w:trHeight w:val="447"/>
        </w:trPr>
        <w:tc>
          <w:tcPr>
            <w:tcW w:w="2268" w:type="dxa"/>
          </w:tcPr>
          <w:p w:rsidR="00F533AC" w:rsidRPr="00240DD0" w:rsidRDefault="00750627" w:rsidP="00F533AC">
            <w:pPr>
              <w:rPr>
                <w:sz w:val="22"/>
                <w:szCs w:val="22"/>
              </w:rPr>
            </w:pPr>
            <w:r w:rsidRPr="00240DD0">
              <w:rPr>
                <w:sz w:val="22"/>
                <w:szCs w:val="22"/>
              </w:rPr>
              <w:t>OTC Options</w:t>
            </w:r>
          </w:p>
        </w:tc>
        <w:tc>
          <w:tcPr>
            <w:tcW w:w="2405" w:type="dxa"/>
          </w:tcPr>
          <w:p w:rsidR="00F533AC" w:rsidRPr="00240DD0" w:rsidRDefault="00750627" w:rsidP="00F533AC">
            <w:pPr>
              <w:rPr>
                <w:sz w:val="22"/>
                <w:szCs w:val="22"/>
              </w:rPr>
            </w:pPr>
            <w:r w:rsidRPr="00240DD0">
              <w:rPr>
                <w:sz w:val="22"/>
                <w:szCs w:val="22"/>
              </w:rPr>
              <w:t>Credit rating of counterparty</w:t>
            </w:r>
          </w:p>
        </w:tc>
        <w:tc>
          <w:tcPr>
            <w:tcW w:w="2126" w:type="dxa"/>
          </w:tcPr>
          <w:p w:rsidR="00F533AC" w:rsidRPr="00240DD0" w:rsidRDefault="00750627" w:rsidP="00F533AC">
            <w:pPr>
              <w:rPr>
                <w:sz w:val="22"/>
                <w:szCs w:val="22"/>
              </w:rPr>
            </w:pPr>
            <w:r w:rsidRPr="00240DD0">
              <w:rPr>
                <w:sz w:val="22"/>
                <w:szCs w:val="22"/>
              </w:rPr>
              <w:t xml:space="preserve">Agreed full 2-way collateral </w:t>
            </w:r>
          </w:p>
        </w:tc>
        <w:tc>
          <w:tcPr>
            <w:tcW w:w="2127" w:type="dxa"/>
          </w:tcPr>
          <w:p w:rsidR="00F533AC" w:rsidRPr="00240DD0" w:rsidRDefault="00750627" w:rsidP="00F533AC">
            <w:pPr>
              <w:rPr>
                <w:sz w:val="22"/>
                <w:szCs w:val="22"/>
              </w:rPr>
            </w:pPr>
            <w:r w:rsidRPr="00240DD0">
              <w:rPr>
                <w:sz w:val="22"/>
                <w:szCs w:val="22"/>
              </w:rPr>
              <w:t>Types of collateral and haircuts</w:t>
            </w:r>
          </w:p>
        </w:tc>
      </w:tr>
      <w:tr w:rsidR="00CB5B91" w:rsidTr="00F533AC">
        <w:trPr>
          <w:trHeight w:val="472"/>
        </w:trPr>
        <w:tc>
          <w:tcPr>
            <w:tcW w:w="2268" w:type="dxa"/>
          </w:tcPr>
          <w:p w:rsidR="00F533AC" w:rsidRPr="00240DD0" w:rsidRDefault="00750627" w:rsidP="00F533AC">
            <w:pPr>
              <w:rPr>
                <w:sz w:val="22"/>
                <w:szCs w:val="22"/>
              </w:rPr>
            </w:pPr>
            <w:r w:rsidRPr="00240DD0">
              <w:rPr>
                <w:sz w:val="22"/>
                <w:szCs w:val="22"/>
              </w:rPr>
              <w:t xml:space="preserve">Intra LA swaps </w:t>
            </w:r>
          </w:p>
        </w:tc>
        <w:tc>
          <w:tcPr>
            <w:tcW w:w="2405" w:type="dxa"/>
          </w:tcPr>
          <w:p w:rsidR="00F533AC" w:rsidRPr="00240DD0" w:rsidRDefault="00750627" w:rsidP="00F533AC">
            <w:pPr>
              <w:rPr>
                <w:sz w:val="22"/>
                <w:szCs w:val="22"/>
              </w:rPr>
            </w:pPr>
            <w:r w:rsidRPr="00240DD0">
              <w:rPr>
                <w:sz w:val="22"/>
                <w:szCs w:val="22"/>
              </w:rPr>
              <w:t>Assumed Credit rating</w:t>
            </w:r>
          </w:p>
        </w:tc>
        <w:tc>
          <w:tcPr>
            <w:tcW w:w="2126" w:type="dxa"/>
          </w:tcPr>
          <w:p w:rsidR="00F533AC" w:rsidRPr="00240DD0" w:rsidRDefault="00750627" w:rsidP="00F533AC">
            <w:pPr>
              <w:rPr>
                <w:sz w:val="22"/>
                <w:szCs w:val="22"/>
              </w:rPr>
            </w:pPr>
            <w:r w:rsidRPr="00240DD0">
              <w:rPr>
                <w:sz w:val="22"/>
                <w:szCs w:val="22"/>
              </w:rPr>
              <w:t>2-way collateral (cash)</w:t>
            </w:r>
          </w:p>
        </w:tc>
        <w:tc>
          <w:tcPr>
            <w:tcW w:w="2127" w:type="dxa"/>
          </w:tcPr>
          <w:p w:rsidR="00F533AC" w:rsidRPr="00240DD0" w:rsidRDefault="00750627" w:rsidP="00F533AC">
            <w:pPr>
              <w:rPr>
                <w:sz w:val="22"/>
                <w:szCs w:val="22"/>
              </w:rPr>
            </w:pPr>
            <w:r w:rsidRPr="00240DD0">
              <w:rPr>
                <w:sz w:val="22"/>
                <w:szCs w:val="22"/>
              </w:rPr>
              <w:t xml:space="preserve">No haircut </w:t>
            </w:r>
          </w:p>
        </w:tc>
      </w:tr>
    </w:tbl>
    <w:p w:rsidR="00F533AC" w:rsidRDefault="00057DFB" w:rsidP="00F533AC">
      <w:pPr>
        <w:jc w:val="both"/>
      </w:pPr>
    </w:p>
    <w:p w:rsidR="00F533AC" w:rsidRDefault="00750627" w:rsidP="00F533AC">
      <w:pPr>
        <w:jc w:val="both"/>
      </w:pPr>
      <w:r>
        <w:lastRenderedPageBreak/>
        <w:t>The credit quality of the collateral acceptable to the county council will be determined by the credit rating of the counterparty or exchange, along with credit default swap prices which react much quicker than credit rating agencies and can be used as early indicators of credit or liquidity problems.</w:t>
      </w:r>
    </w:p>
    <w:p w:rsidR="00F533AC" w:rsidRDefault="00057DFB" w:rsidP="00F533AC">
      <w:pPr>
        <w:jc w:val="both"/>
      </w:pPr>
    </w:p>
    <w:p w:rsidR="00F533AC" w:rsidRDefault="00750627" w:rsidP="00F533AC">
      <w:pPr>
        <w:jc w:val="both"/>
      </w:pPr>
      <w:r>
        <w:t>The following table defines the appropriate limits for collateral quality:</w:t>
      </w:r>
    </w:p>
    <w:p w:rsidR="00F533AC" w:rsidRDefault="00057DFB" w:rsidP="00F533AC">
      <w:pPr>
        <w:jc w:val="both"/>
      </w:pPr>
    </w:p>
    <w:tbl>
      <w:tblPr>
        <w:tblStyle w:val="TableGrid"/>
        <w:tblW w:w="0" w:type="auto"/>
        <w:tblLook w:val="04A0" w:firstRow="1" w:lastRow="0" w:firstColumn="1" w:lastColumn="0" w:noHBand="0" w:noVBand="1"/>
      </w:tblPr>
      <w:tblGrid>
        <w:gridCol w:w="1802"/>
        <w:gridCol w:w="1829"/>
        <w:gridCol w:w="1893"/>
        <w:gridCol w:w="1731"/>
        <w:gridCol w:w="1761"/>
      </w:tblGrid>
      <w:tr w:rsidR="00CB5B91" w:rsidTr="00F533AC">
        <w:tc>
          <w:tcPr>
            <w:tcW w:w="1802" w:type="dxa"/>
          </w:tcPr>
          <w:p w:rsidR="00F533AC" w:rsidRPr="004977DB" w:rsidRDefault="00750627" w:rsidP="00F533AC">
            <w:pPr>
              <w:rPr>
                <w:b/>
                <w:sz w:val="22"/>
                <w:szCs w:val="22"/>
              </w:rPr>
            </w:pPr>
            <w:r w:rsidRPr="004977DB">
              <w:rPr>
                <w:b/>
                <w:sz w:val="22"/>
                <w:szCs w:val="22"/>
              </w:rPr>
              <w:t>Counterparty type</w:t>
            </w:r>
          </w:p>
        </w:tc>
        <w:tc>
          <w:tcPr>
            <w:tcW w:w="1829" w:type="dxa"/>
          </w:tcPr>
          <w:p w:rsidR="00F533AC" w:rsidRPr="004977DB" w:rsidRDefault="00750627" w:rsidP="00F533AC">
            <w:pPr>
              <w:rPr>
                <w:b/>
                <w:sz w:val="22"/>
                <w:szCs w:val="22"/>
              </w:rPr>
            </w:pPr>
            <w:r w:rsidRPr="004977DB">
              <w:rPr>
                <w:b/>
                <w:sz w:val="22"/>
                <w:szCs w:val="22"/>
              </w:rPr>
              <w:t>Documentation</w:t>
            </w:r>
          </w:p>
        </w:tc>
        <w:tc>
          <w:tcPr>
            <w:tcW w:w="1893" w:type="dxa"/>
          </w:tcPr>
          <w:p w:rsidR="00F533AC" w:rsidRPr="004977DB" w:rsidRDefault="00750627" w:rsidP="00F533AC">
            <w:pPr>
              <w:rPr>
                <w:b/>
                <w:sz w:val="22"/>
                <w:szCs w:val="22"/>
              </w:rPr>
            </w:pPr>
            <w:r w:rsidRPr="004977DB">
              <w:rPr>
                <w:b/>
                <w:sz w:val="22"/>
                <w:szCs w:val="22"/>
              </w:rPr>
              <w:t>Collateral types</w:t>
            </w:r>
          </w:p>
        </w:tc>
        <w:tc>
          <w:tcPr>
            <w:tcW w:w="1731" w:type="dxa"/>
          </w:tcPr>
          <w:p w:rsidR="00F533AC" w:rsidRPr="004977DB" w:rsidRDefault="00750627" w:rsidP="00F533AC">
            <w:pPr>
              <w:rPr>
                <w:b/>
                <w:sz w:val="22"/>
                <w:szCs w:val="22"/>
              </w:rPr>
            </w:pPr>
            <w:r w:rsidRPr="004977DB">
              <w:rPr>
                <w:b/>
                <w:sz w:val="22"/>
                <w:szCs w:val="22"/>
              </w:rPr>
              <w:t>CDS levels</w:t>
            </w:r>
          </w:p>
        </w:tc>
        <w:tc>
          <w:tcPr>
            <w:tcW w:w="1761" w:type="dxa"/>
          </w:tcPr>
          <w:p w:rsidR="00F533AC" w:rsidRPr="004977DB" w:rsidRDefault="00750627" w:rsidP="00F533AC">
            <w:pPr>
              <w:rPr>
                <w:b/>
                <w:sz w:val="22"/>
                <w:szCs w:val="22"/>
              </w:rPr>
            </w:pPr>
            <w:r w:rsidRPr="004977DB">
              <w:rPr>
                <w:b/>
                <w:sz w:val="22"/>
                <w:szCs w:val="22"/>
              </w:rPr>
              <w:t>Rating</w:t>
            </w:r>
          </w:p>
        </w:tc>
      </w:tr>
      <w:tr w:rsidR="00CB5B91" w:rsidTr="00F533AC">
        <w:tc>
          <w:tcPr>
            <w:tcW w:w="1802" w:type="dxa"/>
          </w:tcPr>
          <w:p w:rsidR="00F533AC" w:rsidRPr="004977DB" w:rsidRDefault="00750627" w:rsidP="00F533AC">
            <w:pPr>
              <w:rPr>
                <w:sz w:val="22"/>
                <w:szCs w:val="22"/>
              </w:rPr>
            </w:pPr>
            <w:r w:rsidRPr="004977DB">
              <w:rPr>
                <w:sz w:val="22"/>
                <w:szCs w:val="22"/>
              </w:rPr>
              <w:t>Exchange</w:t>
            </w:r>
          </w:p>
        </w:tc>
        <w:tc>
          <w:tcPr>
            <w:tcW w:w="1829" w:type="dxa"/>
          </w:tcPr>
          <w:p w:rsidR="00F533AC" w:rsidRPr="004977DB" w:rsidRDefault="00750627" w:rsidP="00F533AC">
            <w:pPr>
              <w:rPr>
                <w:sz w:val="22"/>
                <w:szCs w:val="22"/>
              </w:rPr>
            </w:pPr>
            <w:r w:rsidRPr="004977DB">
              <w:rPr>
                <w:sz w:val="22"/>
                <w:szCs w:val="22"/>
              </w:rPr>
              <w:t>MIFCA</w:t>
            </w:r>
          </w:p>
        </w:tc>
        <w:tc>
          <w:tcPr>
            <w:tcW w:w="1893" w:type="dxa"/>
          </w:tcPr>
          <w:p w:rsidR="00F533AC" w:rsidRPr="004977DB" w:rsidRDefault="00750627" w:rsidP="00F533AC">
            <w:pPr>
              <w:rPr>
                <w:sz w:val="22"/>
                <w:szCs w:val="22"/>
              </w:rPr>
            </w:pPr>
            <w:r w:rsidRPr="004977DB">
              <w:rPr>
                <w:sz w:val="22"/>
                <w:szCs w:val="22"/>
              </w:rPr>
              <w:t>Cash margins</w:t>
            </w:r>
          </w:p>
        </w:tc>
        <w:tc>
          <w:tcPr>
            <w:tcW w:w="1731" w:type="dxa"/>
          </w:tcPr>
          <w:p w:rsidR="00F533AC" w:rsidRPr="004977DB" w:rsidRDefault="00750627" w:rsidP="00F533AC">
            <w:pPr>
              <w:rPr>
                <w:sz w:val="22"/>
                <w:szCs w:val="22"/>
              </w:rPr>
            </w:pPr>
            <w:r w:rsidRPr="004977DB">
              <w:rPr>
                <w:sz w:val="22"/>
                <w:szCs w:val="22"/>
              </w:rPr>
              <w:t>&lt;75bp</w:t>
            </w:r>
          </w:p>
        </w:tc>
        <w:tc>
          <w:tcPr>
            <w:tcW w:w="1761" w:type="dxa"/>
          </w:tcPr>
          <w:p w:rsidR="00F533AC" w:rsidRPr="004977DB" w:rsidRDefault="00750627" w:rsidP="00F533AC">
            <w:pPr>
              <w:rPr>
                <w:sz w:val="22"/>
                <w:szCs w:val="22"/>
              </w:rPr>
            </w:pPr>
            <w:r w:rsidRPr="004977DB">
              <w:rPr>
                <w:sz w:val="22"/>
                <w:szCs w:val="22"/>
              </w:rPr>
              <w:t>AA</w:t>
            </w:r>
          </w:p>
        </w:tc>
      </w:tr>
      <w:tr w:rsidR="00CB5B91" w:rsidTr="00F533AC">
        <w:tc>
          <w:tcPr>
            <w:tcW w:w="1802" w:type="dxa"/>
          </w:tcPr>
          <w:p w:rsidR="00F533AC" w:rsidRPr="004977DB" w:rsidRDefault="00750627" w:rsidP="00F533AC">
            <w:pPr>
              <w:rPr>
                <w:sz w:val="22"/>
                <w:szCs w:val="22"/>
              </w:rPr>
            </w:pPr>
            <w:r w:rsidRPr="004977DB">
              <w:rPr>
                <w:sz w:val="22"/>
                <w:szCs w:val="22"/>
              </w:rPr>
              <w:t>Bank</w:t>
            </w:r>
          </w:p>
        </w:tc>
        <w:tc>
          <w:tcPr>
            <w:tcW w:w="1829" w:type="dxa"/>
          </w:tcPr>
          <w:p w:rsidR="00F533AC" w:rsidRPr="004977DB" w:rsidRDefault="00750627" w:rsidP="00F533AC">
            <w:pPr>
              <w:rPr>
                <w:sz w:val="22"/>
                <w:szCs w:val="22"/>
              </w:rPr>
            </w:pPr>
            <w:r w:rsidRPr="004977DB">
              <w:rPr>
                <w:sz w:val="22"/>
                <w:szCs w:val="22"/>
              </w:rPr>
              <w:t>ISDA/CSA</w:t>
            </w:r>
          </w:p>
        </w:tc>
        <w:tc>
          <w:tcPr>
            <w:tcW w:w="1893" w:type="dxa"/>
          </w:tcPr>
          <w:p w:rsidR="00F533AC" w:rsidRPr="004977DB" w:rsidRDefault="00750627" w:rsidP="00F533AC">
            <w:pPr>
              <w:rPr>
                <w:sz w:val="22"/>
                <w:szCs w:val="22"/>
              </w:rPr>
            </w:pPr>
            <w:r w:rsidRPr="004977DB">
              <w:rPr>
                <w:sz w:val="22"/>
                <w:szCs w:val="22"/>
              </w:rPr>
              <w:t>Cash and Gov</w:t>
            </w:r>
            <w:r>
              <w:rPr>
                <w:sz w:val="22"/>
                <w:szCs w:val="22"/>
              </w:rPr>
              <w:t>ernmen</w:t>
            </w:r>
            <w:r w:rsidRPr="004977DB">
              <w:rPr>
                <w:sz w:val="22"/>
                <w:szCs w:val="22"/>
              </w:rPr>
              <w:t>t bonds</w:t>
            </w:r>
          </w:p>
        </w:tc>
        <w:tc>
          <w:tcPr>
            <w:tcW w:w="1731" w:type="dxa"/>
          </w:tcPr>
          <w:p w:rsidR="00F533AC" w:rsidRPr="004977DB" w:rsidRDefault="00750627" w:rsidP="00F533AC">
            <w:pPr>
              <w:rPr>
                <w:sz w:val="22"/>
                <w:szCs w:val="22"/>
              </w:rPr>
            </w:pPr>
            <w:r w:rsidRPr="004977DB">
              <w:rPr>
                <w:sz w:val="22"/>
                <w:szCs w:val="22"/>
              </w:rPr>
              <w:t>&lt;100bp</w:t>
            </w:r>
          </w:p>
        </w:tc>
        <w:tc>
          <w:tcPr>
            <w:tcW w:w="1761" w:type="dxa"/>
          </w:tcPr>
          <w:p w:rsidR="00F533AC" w:rsidRPr="004977DB" w:rsidRDefault="00750627" w:rsidP="00F533AC">
            <w:pPr>
              <w:rPr>
                <w:sz w:val="22"/>
                <w:szCs w:val="22"/>
              </w:rPr>
            </w:pPr>
            <w:r w:rsidRPr="004977DB">
              <w:rPr>
                <w:sz w:val="22"/>
                <w:szCs w:val="22"/>
              </w:rPr>
              <w:t>A3</w:t>
            </w:r>
          </w:p>
        </w:tc>
      </w:tr>
      <w:tr w:rsidR="00CB5B91" w:rsidTr="00F533AC">
        <w:tc>
          <w:tcPr>
            <w:tcW w:w="1802" w:type="dxa"/>
          </w:tcPr>
          <w:p w:rsidR="00F533AC" w:rsidRPr="004977DB" w:rsidRDefault="00750627" w:rsidP="00F533AC">
            <w:pPr>
              <w:rPr>
                <w:sz w:val="22"/>
                <w:szCs w:val="22"/>
              </w:rPr>
            </w:pPr>
            <w:r w:rsidRPr="004977DB">
              <w:rPr>
                <w:sz w:val="22"/>
                <w:szCs w:val="22"/>
              </w:rPr>
              <w:t>Insurer and Pension Fund</w:t>
            </w:r>
          </w:p>
        </w:tc>
        <w:tc>
          <w:tcPr>
            <w:tcW w:w="1829" w:type="dxa"/>
          </w:tcPr>
          <w:p w:rsidR="00F533AC" w:rsidRPr="004977DB" w:rsidRDefault="00750627" w:rsidP="00F533AC">
            <w:pPr>
              <w:rPr>
                <w:sz w:val="22"/>
                <w:szCs w:val="22"/>
              </w:rPr>
            </w:pPr>
            <w:r w:rsidRPr="004977DB">
              <w:rPr>
                <w:sz w:val="22"/>
                <w:szCs w:val="22"/>
              </w:rPr>
              <w:t>ISDA CSA</w:t>
            </w:r>
          </w:p>
        </w:tc>
        <w:tc>
          <w:tcPr>
            <w:tcW w:w="1893" w:type="dxa"/>
          </w:tcPr>
          <w:p w:rsidR="00F533AC" w:rsidRPr="004977DB" w:rsidRDefault="00750627" w:rsidP="00F533AC">
            <w:pPr>
              <w:rPr>
                <w:sz w:val="22"/>
                <w:szCs w:val="22"/>
              </w:rPr>
            </w:pPr>
            <w:r w:rsidRPr="002D69C9">
              <w:rPr>
                <w:sz w:val="22"/>
                <w:szCs w:val="22"/>
              </w:rPr>
              <w:t>Cash and Gov</w:t>
            </w:r>
            <w:r>
              <w:rPr>
                <w:sz w:val="22"/>
                <w:szCs w:val="22"/>
              </w:rPr>
              <w:t>ernmen</w:t>
            </w:r>
            <w:r w:rsidRPr="002D69C9">
              <w:rPr>
                <w:sz w:val="22"/>
                <w:szCs w:val="22"/>
              </w:rPr>
              <w:t>t bonds</w:t>
            </w:r>
          </w:p>
        </w:tc>
        <w:tc>
          <w:tcPr>
            <w:tcW w:w="1731" w:type="dxa"/>
          </w:tcPr>
          <w:p w:rsidR="00F533AC" w:rsidRPr="004977DB" w:rsidRDefault="00750627" w:rsidP="00F533AC">
            <w:pPr>
              <w:rPr>
                <w:sz w:val="22"/>
                <w:szCs w:val="22"/>
              </w:rPr>
            </w:pPr>
            <w:r w:rsidRPr="004977DB">
              <w:rPr>
                <w:sz w:val="22"/>
                <w:szCs w:val="22"/>
              </w:rPr>
              <w:t>&lt;100 (Insurers)</w:t>
            </w:r>
          </w:p>
        </w:tc>
        <w:tc>
          <w:tcPr>
            <w:tcW w:w="1761" w:type="dxa"/>
          </w:tcPr>
          <w:p w:rsidR="00F533AC" w:rsidRPr="004977DB" w:rsidRDefault="00750627" w:rsidP="00F533AC">
            <w:pPr>
              <w:rPr>
                <w:sz w:val="22"/>
                <w:szCs w:val="22"/>
              </w:rPr>
            </w:pPr>
            <w:r w:rsidRPr="004977DB">
              <w:rPr>
                <w:sz w:val="22"/>
                <w:szCs w:val="22"/>
              </w:rPr>
              <w:t>A3 (Insurers)</w:t>
            </w:r>
          </w:p>
        </w:tc>
      </w:tr>
      <w:tr w:rsidR="00CB5B91" w:rsidTr="00F533AC">
        <w:tc>
          <w:tcPr>
            <w:tcW w:w="1802" w:type="dxa"/>
          </w:tcPr>
          <w:p w:rsidR="00F533AC" w:rsidRPr="004977DB" w:rsidRDefault="00750627" w:rsidP="00F533AC">
            <w:pPr>
              <w:rPr>
                <w:sz w:val="22"/>
                <w:szCs w:val="22"/>
              </w:rPr>
            </w:pPr>
            <w:r w:rsidRPr="004977DB">
              <w:rPr>
                <w:sz w:val="22"/>
                <w:szCs w:val="22"/>
              </w:rPr>
              <w:t>L</w:t>
            </w:r>
            <w:r>
              <w:rPr>
                <w:sz w:val="22"/>
                <w:szCs w:val="22"/>
              </w:rPr>
              <w:t xml:space="preserve">ocal </w:t>
            </w:r>
            <w:r w:rsidRPr="004977DB">
              <w:rPr>
                <w:sz w:val="22"/>
                <w:szCs w:val="22"/>
              </w:rPr>
              <w:t>A</w:t>
            </w:r>
            <w:r>
              <w:rPr>
                <w:sz w:val="22"/>
                <w:szCs w:val="22"/>
              </w:rPr>
              <w:t>uthority</w:t>
            </w:r>
          </w:p>
        </w:tc>
        <w:tc>
          <w:tcPr>
            <w:tcW w:w="1829" w:type="dxa"/>
          </w:tcPr>
          <w:p w:rsidR="00F533AC" w:rsidRPr="004977DB" w:rsidRDefault="00750627" w:rsidP="00F533AC">
            <w:pPr>
              <w:rPr>
                <w:sz w:val="22"/>
                <w:szCs w:val="22"/>
              </w:rPr>
            </w:pPr>
            <w:r w:rsidRPr="004977DB">
              <w:rPr>
                <w:sz w:val="22"/>
                <w:szCs w:val="22"/>
              </w:rPr>
              <w:t>Contract</w:t>
            </w:r>
          </w:p>
        </w:tc>
        <w:tc>
          <w:tcPr>
            <w:tcW w:w="1893" w:type="dxa"/>
          </w:tcPr>
          <w:p w:rsidR="00F533AC" w:rsidRPr="004977DB" w:rsidRDefault="00750627" w:rsidP="00F533AC">
            <w:pPr>
              <w:rPr>
                <w:sz w:val="22"/>
                <w:szCs w:val="22"/>
              </w:rPr>
            </w:pPr>
            <w:r w:rsidRPr="002D69C9">
              <w:rPr>
                <w:sz w:val="22"/>
                <w:szCs w:val="22"/>
              </w:rPr>
              <w:t>Cash and Gov</w:t>
            </w:r>
            <w:r>
              <w:rPr>
                <w:sz w:val="22"/>
                <w:szCs w:val="22"/>
              </w:rPr>
              <w:t>ernmen</w:t>
            </w:r>
            <w:r w:rsidRPr="002D69C9">
              <w:rPr>
                <w:sz w:val="22"/>
                <w:szCs w:val="22"/>
              </w:rPr>
              <w:t>t bonds</w:t>
            </w:r>
          </w:p>
        </w:tc>
        <w:tc>
          <w:tcPr>
            <w:tcW w:w="1731" w:type="dxa"/>
          </w:tcPr>
          <w:p w:rsidR="00F533AC" w:rsidRPr="004977DB" w:rsidRDefault="00750627" w:rsidP="00F533AC">
            <w:pPr>
              <w:rPr>
                <w:sz w:val="22"/>
                <w:szCs w:val="22"/>
              </w:rPr>
            </w:pPr>
            <w:r w:rsidRPr="004977DB">
              <w:rPr>
                <w:sz w:val="22"/>
                <w:szCs w:val="22"/>
              </w:rPr>
              <w:t>England/Wales None</w:t>
            </w:r>
          </w:p>
        </w:tc>
        <w:tc>
          <w:tcPr>
            <w:tcW w:w="1761" w:type="dxa"/>
          </w:tcPr>
          <w:p w:rsidR="00F533AC" w:rsidRPr="004977DB" w:rsidRDefault="00750627" w:rsidP="00F533AC">
            <w:pPr>
              <w:rPr>
                <w:sz w:val="22"/>
                <w:szCs w:val="22"/>
              </w:rPr>
            </w:pPr>
            <w:r w:rsidRPr="004977DB">
              <w:rPr>
                <w:sz w:val="22"/>
                <w:szCs w:val="22"/>
              </w:rPr>
              <w:t>England and Wales None</w:t>
            </w:r>
          </w:p>
        </w:tc>
      </w:tr>
    </w:tbl>
    <w:p w:rsidR="00F533AC" w:rsidRDefault="00057DFB" w:rsidP="00F533AC">
      <w:pPr>
        <w:jc w:val="both"/>
      </w:pPr>
    </w:p>
    <w:p w:rsidR="00F533AC" w:rsidRDefault="00750627" w:rsidP="00F533AC">
      <w:pPr>
        <w:jc w:val="both"/>
      </w:pPr>
      <w:r>
        <w:t xml:space="preserve">The council will only use derivative contracts to hedge existing risks. This is reflected in the limits below. The 100% upper limit means that the council has the option to hedge all of, but not more than, its interest rate risk if felt appropriate.  </w:t>
      </w:r>
    </w:p>
    <w:p w:rsidR="00F533AC" w:rsidRDefault="00057DFB" w:rsidP="00F533AC">
      <w:pPr>
        <w:jc w:val="both"/>
      </w:pPr>
    </w:p>
    <w:tbl>
      <w:tblPr>
        <w:tblStyle w:val="TableGrid"/>
        <w:tblW w:w="9067" w:type="dxa"/>
        <w:tblLook w:val="04A0" w:firstRow="1" w:lastRow="0" w:firstColumn="1" w:lastColumn="0" w:noHBand="0" w:noVBand="1"/>
      </w:tblPr>
      <w:tblGrid>
        <w:gridCol w:w="1820"/>
        <w:gridCol w:w="1742"/>
        <w:gridCol w:w="1536"/>
        <w:gridCol w:w="1843"/>
        <w:gridCol w:w="2126"/>
      </w:tblGrid>
      <w:tr w:rsidR="00CB5B91" w:rsidTr="00F533AC">
        <w:tc>
          <w:tcPr>
            <w:tcW w:w="1820" w:type="dxa"/>
          </w:tcPr>
          <w:p w:rsidR="00F533AC" w:rsidRPr="004977DB" w:rsidRDefault="00750627" w:rsidP="00F533AC">
            <w:pPr>
              <w:jc w:val="both"/>
              <w:rPr>
                <w:b/>
                <w:sz w:val="22"/>
                <w:szCs w:val="22"/>
              </w:rPr>
            </w:pPr>
            <w:r w:rsidRPr="004977DB">
              <w:rPr>
                <w:b/>
                <w:sz w:val="22"/>
                <w:szCs w:val="22"/>
              </w:rPr>
              <w:t>Exposure Metric</w:t>
            </w:r>
          </w:p>
        </w:tc>
        <w:tc>
          <w:tcPr>
            <w:tcW w:w="1742" w:type="dxa"/>
          </w:tcPr>
          <w:p w:rsidR="00F533AC" w:rsidRPr="004977DB" w:rsidRDefault="00750627" w:rsidP="00F533AC">
            <w:pPr>
              <w:jc w:val="both"/>
              <w:rPr>
                <w:b/>
                <w:sz w:val="22"/>
                <w:szCs w:val="22"/>
              </w:rPr>
            </w:pPr>
            <w:r w:rsidRPr="004977DB">
              <w:rPr>
                <w:b/>
                <w:sz w:val="22"/>
                <w:szCs w:val="22"/>
              </w:rPr>
              <w:t>Min Hedge</w:t>
            </w:r>
          </w:p>
        </w:tc>
        <w:tc>
          <w:tcPr>
            <w:tcW w:w="1536" w:type="dxa"/>
          </w:tcPr>
          <w:p w:rsidR="00F533AC" w:rsidRPr="004977DB" w:rsidRDefault="00750627" w:rsidP="00F533AC">
            <w:pPr>
              <w:jc w:val="both"/>
              <w:rPr>
                <w:b/>
                <w:sz w:val="22"/>
                <w:szCs w:val="22"/>
              </w:rPr>
            </w:pPr>
            <w:r w:rsidRPr="004977DB">
              <w:rPr>
                <w:b/>
                <w:sz w:val="22"/>
                <w:szCs w:val="22"/>
              </w:rPr>
              <w:t>Max Hedge</w:t>
            </w:r>
          </w:p>
        </w:tc>
        <w:tc>
          <w:tcPr>
            <w:tcW w:w="1843" w:type="dxa"/>
          </w:tcPr>
          <w:p w:rsidR="00F533AC" w:rsidRPr="004977DB" w:rsidRDefault="00750627" w:rsidP="00F533AC">
            <w:pPr>
              <w:jc w:val="both"/>
              <w:rPr>
                <w:b/>
                <w:sz w:val="22"/>
                <w:szCs w:val="22"/>
              </w:rPr>
            </w:pPr>
            <w:r w:rsidRPr="004977DB">
              <w:rPr>
                <w:b/>
                <w:sz w:val="22"/>
                <w:szCs w:val="22"/>
              </w:rPr>
              <w:t>Granularity</w:t>
            </w:r>
          </w:p>
        </w:tc>
        <w:tc>
          <w:tcPr>
            <w:tcW w:w="2126" w:type="dxa"/>
          </w:tcPr>
          <w:p w:rsidR="00F533AC" w:rsidRPr="004977DB" w:rsidRDefault="00750627" w:rsidP="00F533AC">
            <w:pPr>
              <w:jc w:val="both"/>
              <w:rPr>
                <w:b/>
                <w:sz w:val="22"/>
                <w:szCs w:val="22"/>
              </w:rPr>
            </w:pPr>
            <w:r w:rsidRPr="004977DB">
              <w:rPr>
                <w:b/>
                <w:sz w:val="22"/>
                <w:szCs w:val="22"/>
              </w:rPr>
              <w:t>Tool</w:t>
            </w:r>
          </w:p>
        </w:tc>
      </w:tr>
      <w:tr w:rsidR="00CB5B91" w:rsidTr="00F533AC">
        <w:tc>
          <w:tcPr>
            <w:tcW w:w="1820" w:type="dxa"/>
          </w:tcPr>
          <w:p w:rsidR="00F533AC" w:rsidRPr="004977DB" w:rsidRDefault="00750627" w:rsidP="00F533AC">
            <w:pPr>
              <w:jc w:val="both"/>
              <w:rPr>
                <w:sz w:val="22"/>
                <w:szCs w:val="22"/>
              </w:rPr>
            </w:pPr>
            <w:r w:rsidRPr="004977DB">
              <w:rPr>
                <w:sz w:val="22"/>
                <w:szCs w:val="22"/>
              </w:rPr>
              <w:t xml:space="preserve">Interest rate </w:t>
            </w:r>
          </w:p>
          <w:p w:rsidR="00F533AC" w:rsidRPr="004977DB" w:rsidRDefault="00057DFB" w:rsidP="00F533AC">
            <w:pPr>
              <w:jc w:val="both"/>
              <w:rPr>
                <w:sz w:val="22"/>
                <w:szCs w:val="22"/>
              </w:rPr>
            </w:pPr>
          </w:p>
        </w:tc>
        <w:tc>
          <w:tcPr>
            <w:tcW w:w="1742" w:type="dxa"/>
          </w:tcPr>
          <w:p w:rsidR="00F533AC" w:rsidRPr="004977DB" w:rsidRDefault="00750627" w:rsidP="00F533AC">
            <w:pPr>
              <w:jc w:val="center"/>
              <w:rPr>
                <w:sz w:val="22"/>
                <w:szCs w:val="22"/>
              </w:rPr>
            </w:pPr>
            <w:r w:rsidRPr="004977DB">
              <w:rPr>
                <w:sz w:val="22"/>
                <w:szCs w:val="22"/>
              </w:rPr>
              <w:t>0%</w:t>
            </w:r>
          </w:p>
        </w:tc>
        <w:tc>
          <w:tcPr>
            <w:tcW w:w="1536" w:type="dxa"/>
          </w:tcPr>
          <w:p w:rsidR="00F533AC" w:rsidRPr="004977DB" w:rsidRDefault="00750627" w:rsidP="00F533AC">
            <w:pPr>
              <w:jc w:val="center"/>
              <w:rPr>
                <w:sz w:val="22"/>
                <w:szCs w:val="22"/>
              </w:rPr>
            </w:pPr>
            <w:r w:rsidRPr="004977DB">
              <w:rPr>
                <w:sz w:val="22"/>
                <w:szCs w:val="22"/>
              </w:rPr>
              <w:t>100%</w:t>
            </w:r>
          </w:p>
        </w:tc>
        <w:tc>
          <w:tcPr>
            <w:tcW w:w="1843" w:type="dxa"/>
          </w:tcPr>
          <w:p w:rsidR="00F533AC" w:rsidRPr="004977DB" w:rsidRDefault="00750627" w:rsidP="00F533AC">
            <w:pPr>
              <w:rPr>
                <w:sz w:val="22"/>
                <w:szCs w:val="22"/>
              </w:rPr>
            </w:pPr>
            <w:r w:rsidRPr="004977DB">
              <w:rPr>
                <w:sz w:val="22"/>
                <w:szCs w:val="22"/>
              </w:rPr>
              <w:t>0-3 months 3-6months, 6-12m months, 1 to 2 years, 2-5 years and 5 year blocks</w:t>
            </w:r>
          </w:p>
        </w:tc>
        <w:tc>
          <w:tcPr>
            <w:tcW w:w="2126" w:type="dxa"/>
          </w:tcPr>
          <w:p w:rsidR="00F533AC" w:rsidRPr="004977DB" w:rsidRDefault="00750627" w:rsidP="00F533AC">
            <w:pPr>
              <w:rPr>
                <w:sz w:val="22"/>
                <w:szCs w:val="22"/>
              </w:rPr>
            </w:pPr>
            <w:r w:rsidRPr="004977DB">
              <w:rPr>
                <w:sz w:val="22"/>
                <w:szCs w:val="22"/>
              </w:rPr>
              <w:t>FRA, Futures, Options,</w:t>
            </w:r>
            <w:r>
              <w:rPr>
                <w:sz w:val="22"/>
                <w:szCs w:val="22"/>
              </w:rPr>
              <w:t xml:space="preserve"> </w:t>
            </w:r>
            <w:r w:rsidRPr="004977DB">
              <w:rPr>
                <w:sz w:val="22"/>
                <w:szCs w:val="22"/>
              </w:rPr>
              <w:t>Swaps</w:t>
            </w:r>
          </w:p>
          <w:p w:rsidR="00F533AC" w:rsidRPr="004977DB" w:rsidRDefault="00750627" w:rsidP="00F533AC">
            <w:pPr>
              <w:rPr>
                <w:sz w:val="22"/>
                <w:szCs w:val="22"/>
              </w:rPr>
            </w:pPr>
            <w:proofErr w:type="spellStart"/>
            <w:r w:rsidRPr="004977DB">
              <w:rPr>
                <w:sz w:val="22"/>
                <w:szCs w:val="22"/>
              </w:rPr>
              <w:t>Swaption</w:t>
            </w:r>
            <w:proofErr w:type="spellEnd"/>
          </w:p>
        </w:tc>
      </w:tr>
      <w:tr w:rsidR="00CB5B91" w:rsidTr="00F533AC">
        <w:tc>
          <w:tcPr>
            <w:tcW w:w="1820" w:type="dxa"/>
          </w:tcPr>
          <w:p w:rsidR="00F533AC" w:rsidRPr="004977DB" w:rsidRDefault="00750627" w:rsidP="00F533AC">
            <w:pPr>
              <w:jc w:val="both"/>
              <w:rPr>
                <w:sz w:val="22"/>
                <w:szCs w:val="22"/>
              </w:rPr>
            </w:pPr>
            <w:r w:rsidRPr="004977DB">
              <w:rPr>
                <w:sz w:val="22"/>
                <w:szCs w:val="22"/>
              </w:rPr>
              <w:t>Inflation rate</w:t>
            </w:r>
          </w:p>
          <w:p w:rsidR="00F533AC" w:rsidRPr="004977DB" w:rsidRDefault="00057DFB" w:rsidP="00F533AC">
            <w:pPr>
              <w:jc w:val="both"/>
              <w:rPr>
                <w:sz w:val="22"/>
                <w:szCs w:val="22"/>
              </w:rPr>
            </w:pPr>
          </w:p>
        </w:tc>
        <w:tc>
          <w:tcPr>
            <w:tcW w:w="1742" w:type="dxa"/>
          </w:tcPr>
          <w:p w:rsidR="00F533AC" w:rsidRPr="004977DB" w:rsidRDefault="00750627" w:rsidP="00F533AC">
            <w:pPr>
              <w:jc w:val="center"/>
              <w:rPr>
                <w:sz w:val="22"/>
                <w:szCs w:val="22"/>
              </w:rPr>
            </w:pPr>
            <w:r w:rsidRPr="004977DB">
              <w:rPr>
                <w:sz w:val="22"/>
                <w:szCs w:val="22"/>
              </w:rPr>
              <w:t>0%</w:t>
            </w:r>
          </w:p>
        </w:tc>
        <w:tc>
          <w:tcPr>
            <w:tcW w:w="1536" w:type="dxa"/>
          </w:tcPr>
          <w:p w:rsidR="00F533AC" w:rsidRPr="004977DB" w:rsidRDefault="00750627" w:rsidP="00F533AC">
            <w:pPr>
              <w:jc w:val="center"/>
              <w:rPr>
                <w:sz w:val="22"/>
                <w:szCs w:val="22"/>
              </w:rPr>
            </w:pPr>
            <w:r w:rsidRPr="004977DB">
              <w:rPr>
                <w:sz w:val="22"/>
                <w:szCs w:val="22"/>
              </w:rPr>
              <w:t>100%</w:t>
            </w:r>
          </w:p>
        </w:tc>
        <w:tc>
          <w:tcPr>
            <w:tcW w:w="1843" w:type="dxa"/>
          </w:tcPr>
          <w:p w:rsidR="00F533AC" w:rsidRPr="004977DB" w:rsidRDefault="00750627" w:rsidP="00F533AC">
            <w:pPr>
              <w:rPr>
                <w:sz w:val="22"/>
                <w:szCs w:val="22"/>
              </w:rPr>
            </w:pPr>
            <w:r w:rsidRPr="004977DB">
              <w:rPr>
                <w:sz w:val="22"/>
                <w:szCs w:val="22"/>
              </w:rPr>
              <w:t>1 block</w:t>
            </w:r>
          </w:p>
        </w:tc>
        <w:tc>
          <w:tcPr>
            <w:tcW w:w="2126" w:type="dxa"/>
          </w:tcPr>
          <w:p w:rsidR="00F533AC" w:rsidRPr="004977DB" w:rsidRDefault="00750627" w:rsidP="00F533AC">
            <w:pPr>
              <w:rPr>
                <w:sz w:val="22"/>
                <w:szCs w:val="22"/>
              </w:rPr>
            </w:pPr>
            <w:r w:rsidRPr="004977DB">
              <w:rPr>
                <w:sz w:val="22"/>
                <w:szCs w:val="22"/>
              </w:rPr>
              <w:t xml:space="preserve">Swap, </w:t>
            </w:r>
            <w:proofErr w:type="spellStart"/>
            <w:r w:rsidRPr="004977DB">
              <w:rPr>
                <w:sz w:val="22"/>
                <w:szCs w:val="22"/>
              </w:rPr>
              <w:t>Swaption</w:t>
            </w:r>
            <w:proofErr w:type="spellEnd"/>
            <w:r w:rsidRPr="004977DB">
              <w:rPr>
                <w:sz w:val="22"/>
                <w:szCs w:val="22"/>
              </w:rPr>
              <w:t>, Option</w:t>
            </w:r>
          </w:p>
        </w:tc>
      </w:tr>
    </w:tbl>
    <w:p w:rsidR="00F533AC" w:rsidRDefault="00750627" w:rsidP="00F533AC">
      <w:pPr>
        <w:jc w:val="both"/>
      </w:pPr>
      <w:r>
        <w:t xml:space="preserve"> </w:t>
      </w:r>
    </w:p>
    <w:p w:rsidR="00F533AC" w:rsidRDefault="00750627" w:rsidP="00F533AC">
      <w:pPr>
        <w:jc w:val="both"/>
      </w:pPr>
      <w:r>
        <w:t>In addition hedge accounting will be used to periodically to test the effectiveness of the hedge. It is expected the hedge will work with between 80% and 125% effectiveness in accordance with International Accounting Standards. If the effectiveness is measured as falling outside these parameters, the structure of the hedge will be changed in response.</w:t>
      </w:r>
    </w:p>
    <w:p w:rsidR="00F533AC" w:rsidRDefault="00057DFB" w:rsidP="00F533AC">
      <w:pPr>
        <w:jc w:val="both"/>
      </w:pPr>
    </w:p>
    <w:p w:rsidR="00F533AC" w:rsidRDefault="00750627" w:rsidP="00F533AC">
      <w:pPr>
        <w:jc w:val="both"/>
      </w:pPr>
      <w:r>
        <w:t xml:space="preserve">The calculation method of interest rate risk to be hedged and hedge effectiveness will be set out in the treasury management practices document. </w:t>
      </w:r>
    </w:p>
    <w:p w:rsidR="00F533AC" w:rsidRDefault="00057DFB" w:rsidP="00F533AC">
      <w:pPr>
        <w:jc w:val="both"/>
      </w:pPr>
    </w:p>
    <w:p w:rsidR="00F533AC" w:rsidRPr="002A48EA" w:rsidRDefault="00750627" w:rsidP="00F533AC">
      <w:pPr>
        <w:jc w:val="both"/>
      </w:pPr>
      <w:r w:rsidRPr="002A48EA">
        <w:t xml:space="preserve">At all times the </w:t>
      </w:r>
      <w:r>
        <w:t>council</w:t>
      </w:r>
      <w:r w:rsidRPr="002A48EA">
        <w:t xml:space="preserve"> will comply with C</w:t>
      </w:r>
      <w:r>
        <w:t>IPFA</w:t>
      </w:r>
      <w:r w:rsidRPr="002A48EA">
        <w:t xml:space="preserve"> advice and guidance on the use of financial derivatives and have regard to C</w:t>
      </w:r>
      <w:r>
        <w:t>IPFA</w:t>
      </w:r>
      <w:r w:rsidRPr="002A48EA">
        <w:t xml:space="preserve"> publications on risk management. </w:t>
      </w:r>
      <w:r>
        <w:t xml:space="preserve">However the council may need to seek its own legal advice. </w:t>
      </w:r>
    </w:p>
    <w:p w:rsidR="00F533AC" w:rsidRDefault="00057DFB" w:rsidP="00F533AC">
      <w:pPr>
        <w:rPr>
          <w:highlight w:val="yellow"/>
        </w:rPr>
      </w:pPr>
    </w:p>
    <w:p w:rsidR="00F533AC" w:rsidRDefault="00057DFB" w:rsidP="00F533AC">
      <w:pPr>
        <w:rPr>
          <w:highlight w:val="yellow"/>
        </w:rPr>
      </w:pPr>
    </w:p>
    <w:p w:rsidR="00F533AC" w:rsidRDefault="00057DFB" w:rsidP="00F533AC">
      <w:pPr>
        <w:rPr>
          <w:highlight w:val="yellow"/>
        </w:rPr>
      </w:pPr>
    </w:p>
    <w:p w:rsidR="002D5BE1" w:rsidRDefault="00057DFB" w:rsidP="00F533AC">
      <w:pPr>
        <w:rPr>
          <w:highlight w:val="yellow"/>
        </w:rPr>
      </w:pPr>
    </w:p>
    <w:p w:rsidR="00F533AC" w:rsidRPr="00240DD0" w:rsidRDefault="00750627" w:rsidP="00F533AC">
      <w:pPr>
        <w:jc w:val="both"/>
        <w:rPr>
          <w:b/>
          <w:sz w:val="28"/>
          <w:szCs w:val="28"/>
        </w:rPr>
      </w:pPr>
      <w:r w:rsidRPr="00240DD0">
        <w:rPr>
          <w:b/>
          <w:sz w:val="28"/>
          <w:szCs w:val="28"/>
        </w:rPr>
        <w:lastRenderedPageBreak/>
        <w:t xml:space="preserve">Impact on the County Council's Revenue Budget </w:t>
      </w:r>
    </w:p>
    <w:p w:rsidR="00F533AC" w:rsidRDefault="00057DFB" w:rsidP="00F533AC">
      <w:pPr>
        <w:jc w:val="both"/>
      </w:pPr>
    </w:p>
    <w:p w:rsidR="00F533AC" w:rsidRPr="00A036BF" w:rsidRDefault="00750627" w:rsidP="00F533AC">
      <w:pPr>
        <w:jc w:val="both"/>
      </w:pPr>
      <w:r w:rsidRPr="00A036BF">
        <w:t xml:space="preserve">With base rates at exceptionally low levels, investment returns are likely to continue to be far lower than has </w:t>
      </w:r>
      <w:r>
        <w:t>previously been the case</w:t>
      </w:r>
      <w:r w:rsidRPr="00A036BF">
        <w:t>. However, in the knowledge that a portion of cash invested will not be required in the short term</w:t>
      </w:r>
      <w:r>
        <w:t>;</w:t>
      </w:r>
      <w:r w:rsidRPr="00A036BF">
        <w:t xml:space="preserve"> and to protect against continued low investment rates</w:t>
      </w:r>
      <w:r>
        <w:t>;</w:t>
      </w:r>
      <w:r w:rsidRPr="00A036BF">
        <w:t xml:space="preserve"> investments may be made for longer time periods, depending on cash flow considerations and the prevailing market conditions. </w:t>
      </w:r>
    </w:p>
    <w:p w:rsidR="00F533AC" w:rsidRDefault="00057DFB" w:rsidP="00F533AC">
      <w:pPr>
        <w:jc w:val="both"/>
      </w:pPr>
    </w:p>
    <w:p w:rsidR="00F533AC" w:rsidRPr="00A036BF" w:rsidRDefault="00750627" w:rsidP="00F533AC">
      <w:pPr>
        <w:jc w:val="both"/>
      </w:pPr>
      <w:r w:rsidRPr="00A036BF">
        <w:t>The performance target on investments is a return above the average rate for 7 day notice money.</w:t>
      </w:r>
    </w:p>
    <w:p w:rsidR="00F533AC" w:rsidRPr="00351C7D" w:rsidRDefault="00057DFB" w:rsidP="00F533AC">
      <w:pPr>
        <w:jc w:val="both"/>
      </w:pPr>
    </w:p>
    <w:p w:rsidR="00F533AC" w:rsidRDefault="00750627" w:rsidP="00F533AC">
      <w:pPr>
        <w:jc w:val="both"/>
      </w:pPr>
      <w:r w:rsidRPr="00351C7D">
        <w:t>The</w:t>
      </w:r>
      <w:r>
        <w:t xml:space="preserve"> following</w:t>
      </w:r>
      <w:r w:rsidRPr="00351C7D">
        <w:t xml:space="preserve"> table outlines the budget for the financing charges element of the </w:t>
      </w:r>
      <w:r>
        <w:t>c</w:t>
      </w:r>
      <w:r w:rsidRPr="00351C7D">
        <w:t>ouncil's revenue budget</w:t>
      </w:r>
      <w:r>
        <w:t xml:space="preserve"> as reflected in the Medium Term Financial Strategy</w:t>
      </w:r>
      <w:r w:rsidRPr="00351C7D">
        <w:t xml:space="preserve">. </w:t>
      </w:r>
      <w:r>
        <w:t xml:space="preserve"> This is based on the Minimum Revenue Provision policy set out at Annex 'B'.</w:t>
      </w:r>
      <w:r w:rsidRPr="001170B5">
        <w:t xml:space="preserve"> </w:t>
      </w:r>
    </w:p>
    <w:p w:rsidR="00F533AC" w:rsidRPr="00464DF9" w:rsidRDefault="00057DFB" w:rsidP="00F533AC">
      <w:pPr>
        <w:jc w:val="both"/>
      </w:pPr>
    </w:p>
    <w:tbl>
      <w:tblPr>
        <w:tblW w:w="9016" w:type="dxa"/>
        <w:tblLook w:val="04A0" w:firstRow="1" w:lastRow="0" w:firstColumn="1" w:lastColumn="0" w:noHBand="0" w:noVBand="1"/>
      </w:tblPr>
      <w:tblGrid>
        <w:gridCol w:w="3681"/>
        <w:gridCol w:w="1417"/>
        <w:gridCol w:w="1418"/>
        <w:gridCol w:w="1280"/>
        <w:gridCol w:w="1220"/>
      </w:tblGrid>
      <w:tr w:rsidR="00CB5B91" w:rsidTr="00F533AC">
        <w:trPr>
          <w:trHeight w:val="285"/>
        </w:trPr>
        <w:tc>
          <w:tcPr>
            <w:tcW w:w="3681" w:type="dxa"/>
            <w:tcBorders>
              <w:top w:val="single" w:sz="4" w:space="0" w:color="auto"/>
              <w:left w:val="single" w:sz="4" w:space="0" w:color="auto"/>
              <w:right w:val="nil"/>
            </w:tcBorders>
            <w:shd w:val="clear" w:color="000000" w:fill="FFFFFF"/>
            <w:noWrap/>
            <w:vAlign w:val="bottom"/>
            <w:hideMark/>
          </w:tcPr>
          <w:p w:rsidR="00F533AC" w:rsidRPr="00354B3D" w:rsidRDefault="00750627" w:rsidP="00F533AC">
            <w:r w:rsidRPr="00354B3D">
              <w:t> </w:t>
            </w:r>
          </w:p>
        </w:tc>
        <w:tc>
          <w:tcPr>
            <w:tcW w:w="1417" w:type="dxa"/>
            <w:tcBorders>
              <w:top w:val="single" w:sz="4" w:space="0" w:color="auto"/>
              <w:left w:val="single" w:sz="4" w:space="0" w:color="auto"/>
              <w:right w:val="single" w:sz="4" w:space="0" w:color="auto"/>
            </w:tcBorders>
            <w:shd w:val="clear" w:color="000000" w:fill="FFFFFF"/>
            <w:noWrap/>
            <w:vAlign w:val="bottom"/>
            <w:hideMark/>
          </w:tcPr>
          <w:p w:rsidR="00F533AC" w:rsidRPr="00354B3D" w:rsidRDefault="00750627" w:rsidP="00F533AC">
            <w:pPr>
              <w:jc w:val="center"/>
            </w:pPr>
            <w:r w:rsidRPr="00354B3D">
              <w:t>Revenue Budget</w:t>
            </w:r>
          </w:p>
        </w:tc>
        <w:tc>
          <w:tcPr>
            <w:tcW w:w="1418" w:type="dxa"/>
            <w:tcBorders>
              <w:top w:val="single" w:sz="4" w:space="0" w:color="auto"/>
              <w:left w:val="nil"/>
              <w:right w:val="single" w:sz="4" w:space="0" w:color="auto"/>
            </w:tcBorders>
            <w:shd w:val="clear" w:color="000000" w:fill="FFFFFF"/>
            <w:noWrap/>
            <w:vAlign w:val="bottom"/>
            <w:hideMark/>
          </w:tcPr>
          <w:p w:rsidR="00F533AC" w:rsidRPr="00354B3D" w:rsidRDefault="00750627" w:rsidP="00F533AC">
            <w:pPr>
              <w:jc w:val="center"/>
            </w:pPr>
            <w:r w:rsidRPr="00354B3D">
              <w:t>Revenue Budget</w:t>
            </w:r>
          </w:p>
        </w:tc>
        <w:tc>
          <w:tcPr>
            <w:tcW w:w="1280" w:type="dxa"/>
            <w:tcBorders>
              <w:top w:val="single" w:sz="4" w:space="0" w:color="auto"/>
              <w:left w:val="nil"/>
              <w:right w:val="single" w:sz="4" w:space="0" w:color="auto"/>
            </w:tcBorders>
            <w:shd w:val="clear" w:color="000000" w:fill="FFFFFF"/>
            <w:noWrap/>
            <w:vAlign w:val="bottom"/>
            <w:hideMark/>
          </w:tcPr>
          <w:p w:rsidR="00F533AC" w:rsidRPr="00354B3D" w:rsidRDefault="00750627" w:rsidP="00F533AC">
            <w:pPr>
              <w:jc w:val="center"/>
            </w:pPr>
            <w:r w:rsidRPr="00354B3D">
              <w:t>Revenue Budget</w:t>
            </w:r>
          </w:p>
        </w:tc>
        <w:tc>
          <w:tcPr>
            <w:tcW w:w="1220" w:type="dxa"/>
            <w:tcBorders>
              <w:top w:val="single" w:sz="4" w:space="0" w:color="auto"/>
              <w:left w:val="nil"/>
              <w:right w:val="single" w:sz="4" w:space="0" w:color="auto"/>
            </w:tcBorders>
            <w:shd w:val="clear" w:color="000000" w:fill="FFFFFF"/>
            <w:noWrap/>
            <w:vAlign w:val="bottom"/>
            <w:hideMark/>
          </w:tcPr>
          <w:p w:rsidR="00F533AC" w:rsidRPr="00354B3D" w:rsidRDefault="00750627" w:rsidP="00F533AC">
            <w:pPr>
              <w:jc w:val="center"/>
            </w:pPr>
            <w:r w:rsidRPr="00354B3D">
              <w:t>Revenue Budget</w:t>
            </w:r>
          </w:p>
        </w:tc>
      </w:tr>
      <w:tr w:rsidR="00CB5B91" w:rsidTr="00F533AC">
        <w:trPr>
          <w:trHeight w:val="285"/>
        </w:trPr>
        <w:tc>
          <w:tcPr>
            <w:tcW w:w="3681" w:type="dxa"/>
            <w:tcBorders>
              <w:top w:val="nil"/>
              <w:left w:val="single" w:sz="4" w:space="0" w:color="auto"/>
              <w:right w:val="nil"/>
            </w:tcBorders>
            <w:shd w:val="clear" w:color="000000" w:fill="FFFFFF"/>
            <w:noWrap/>
            <w:vAlign w:val="bottom"/>
            <w:hideMark/>
          </w:tcPr>
          <w:p w:rsidR="00F533AC" w:rsidRPr="00354B3D" w:rsidRDefault="00750627" w:rsidP="00F533AC">
            <w:r w:rsidRPr="00354B3D">
              <w:t> </w:t>
            </w:r>
          </w:p>
        </w:tc>
        <w:tc>
          <w:tcPr>
            <w:tcW w:w="1417" w:type="dxa"/>
            <w:tcBorders>
              <w:top w:val="nil"/>
              <w:left w:val="single" w:sz="4" w:space="0" w:color="auto"/>
              <w:right w:val="single" w:sz="4" w:space="0" w:color="auto"/>
            </w:tcBorders>
            <w:shd w:val="clear" w:color="000000" w:fill="FFFFFF"/>
            <w:noWrap/>
            <w:vAlign w:val="bottom"/>
            <w:hideMark/>
          </w:tcPr>
          <w:p w:rsidR="00F533AC" w:rsidRPr="00354B3D" w:rsidRDefault="00750627">
            <w:pPr>
              <w:jc w:val="center"/>
            </w:pPr>
            <w:r w:rsidRPr="00354B3D">
              <w:t>2017/18</w:t>
            </w:r>
          </w:p>
        </w:tc>
        <w:tc>
          <w:tcPr>
            <w:tcW w:w="1418" w:type="dxa"/>
            <w:tcBorders>
              <w:top w:val="nil"/>
              <w:left w:val="nil"/>
              <w:right w:val="single" w:sz="4" w:space="0" w:color="auto"/>
            </w:tcBorders>
            <w:shd w:val="clear" w:color="000000" w:fill="FFFFFF"/>
            <w:noWrap/>
            <w:vAlign w:val="bottom"/>
            <w:hideMark/>
          </w:tcPr>
          <w:p w:rsidR="00F533AC" w:rsidRPr="00354B3D" w:rsidRDefault="00750627">
            <w:pPr>
              <w:jc w:val="center"/>
            </w:pPr>
            <w:r w:rsidRPr="00354B3D">
              <w:t>2018/19</w:t>
            </w:r>
          </w:p>
        </w:tc>
        <w:tc>
          <w:tcPr>
            <w:tcW w:w="1280" w:type="dxa"/>
            <w:tcBorders>
              <w:top w:val="nil"/>
              <w:left w:val="nil"/>
              <w:right w:val="single" w:sz="4" w:space="0" w:color="auto"/>
            </w:tcBorders>
            <w:shd w:val="clear" w:color="000000" w:fill="FFFFFF"/>
            <w:noWrap/>
            <w:vAlign w:val="bottom"/>
            <w:hideMark/>
          </w:tcPr>
          <w:p w:rsidR="00F533AC" w:rsidRPr="00354B3D" w:rsidRDefault="00750627">
            <w:pPr>
              <w:jc w:val="center"/>
            </w:pPr>
            <w:r w:rsidRPr="00354B3D">
              <w:t>2019/20</w:t>
            </w:r>
          </w:p>
        </w:tc>
        <w:tc>
          <w:tcPr>
            <w:tcW w:w="1220" w:type="dxa"/>
            <w:tcBorders>
              <w:top w:val="nil"/>
              <w:left w:val="nil"/>
              <w:right w:val="single" w:sz="4" w:space="0" w:color="auto"/>
            </w:tcBorders>
            <w:shd w:val="clear" w:color="000000" w:fill="FFFFFF"/>
            <w:noWrap/>
            <w:vAlign w:val="bottom"/>
            <w:hideMark/>
          </w:tcPr>
          <w:p w:rsidR="00F533AC" w:rsidRPr="00354B3D" w:rsidRDefault="00750627">
            <w:pPr>
              <w:jc w:val="center"/>
            </w:pPr>
            <w:r w:rsidRPr="00354B3D">
              <w:t>2020/21</w:t>
            </w:r>
          </w:p>
        </w:tc>
      </w:tr>
      <w:tr w:rsidR="00CB5B91" w:rsidTr="00F533AC">
        <w:trPr>
          <w:trHeight w:val="285"/>
        </w:trPr>
        <w:tc>
          <w:tcPr>
            <w:tcW w:w="3681" w:type="dxa"/>
            <w:tcBorders>
              <w:top w:val="nil"/>
              <w:left w:val="single" w:sz="4" w:space="0" w:color="auto"/>
              <w:bottom w:val="single" w:sz="4" w:space="0" w:color="auto"/>
              <w:right w:val="nil"/>
            </w:tcBorders>
            <w:shd w:val="clear" w:color="000000" w:fill="FFFFFF"/>
            <w:noWrap/>
            <w:vAlign w:val="bottom"/>
            <w:hideMark/>
          </w:tcPr>
          <w:p w:rsidR="00F533AC" w:rsidRPr="00354B3D" w:rsidRDefault="00750627" w:rsidP="00F533AC">
            <w:r w:rsidRPr="00354B3D">
              <w:t>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F533AC" w:rsidRPr="00354B3D" w:rsidRDefault="00750627">
            <w:pPr>
              <w:jc w:val="center"/>
            </w:pPr>
            <w:r w:rsidRPr="00354B3D">
              <w:t>£m</w:t>
            </w:r>
          </w:p>
        </w:tc>
        <w:tc>
          <w:tcPr>
            <w:tcW w:w="1418" w:type="dxa"/>
            <w:tcBorders>
              <w:top w:val="nil"/>
              <w:left w:val="nil"/>
              <w:bottom w:val="single" w:sz="4" w:space="0" w:color="auto"/>
              <w:right w:val="single" w:sz="4" w:space="0" w:color="auto"/>
            </w:tcBorders>
            <w:shd w:val="clear" w:color="000000" w:fill="FFFFFF"/>
            <w:noWrap/>
            <w:vAlign w:val="bottom"/>
            <w:hideMark/>
          </w:tcPr>
          <w:p w:rsidR="00F533AC" w:rsidRPr="00354B3D" w:rsidRDefault="00750627">
            <w:pPr>
              <w:jc w:val="center"/>
            </w:pPr>
            <w:r w:rsidRPr="00354B3D">
              <w:t>£m</w:t>
            </w:r>
          </w:p>
        </w:tc>
        <w:tc>
          <w:tcPr>
            <w:tcW w:w="1280" w:type="dxa"/>
            <w:tcBorders>
              <w:top w:val="nil"/>
              <w:left w:val="nil"/>
              <w:bottom w:val="single" w:sz="4" w:space="0" w:color="auto"/>
              <w:right w:val="single" w:sz="4" w:space="0" w:color="auto"/>
            </w:tcBorders>
            <w:shd w:val="clear" w:color="000000" w:fill="FFFFFF"/>
            <w:noWrap/>
            <w:vAlign w:val="bottom"/>
            <w:hideMark/>
          </w:tcPr>
          <w:p w:rsidR="00F533AC" w:rsidRPr="00354B3D" w:rsidRDefault="00750627">
            <w:pPr>
              <w:jc w:val="center"/>
            </w:pPr>
            <w:r w:rsidRPr="00354B3D">
              <w:t>£m</w:t>
            </w:r>
          </w:p>
        </w:tc>
        <w:tc>
          <w:tcPr>
            <w:tcW w:w="1220" w:type="dxa"/>
            <w:tcBorders>
              <w:top w:val="nil"/>
              <w:left w:val="nil"/>
              <w:bottom w:val="single" w:sz="4" w:space="0" w:color="auto"/>
              <w:right w:val="single" w:sz="4" w:space="0" w:color="auto"/>
            </w:tcBorders>
            <w:shd w:val="clear" w:color="000000" w:fill="FFFFFF"/>
            <w:noWrap/>
            <w:vAlign w:val="bottom"/>
            <w:hideMark/>
          </w:tcPr>
          <w:p w:rsidR="00F533AC" w:rsidRPr="00354B3D" w:rsidRDefault="00750627">
            <w:pPr>
              <w:jc w:val="center"/>
            </w:pPr>
            <w:r w:rsidRPr="00354B3D">
              <w:t>£m</w:t>
            </w:r>
          </w:p>
        </w:tc>
      </w:tr>
      <w:tr w:rsidR="00CB5B91" w:rsidTr="00F533AC">
        <w:trPr>
          <w:trHeight w:val="285"/>
        </w:trPr>
        <w:tc>
          <w:tcPr>
            <w:tcW w:w="3681" w:type="dxa"/>
            <w:tcBorders>
              <w:top w:val="nil"/>
              <w:left w:val="single" w:sz="4" w:space="0" w:color="auto"/>
              <w:bottom w:val="nil"/>
              <w:right w:val="nil"/>
            </w:tcBorders>
            <w:shd w:val="clear" w:color="000000" w:fill="FFFFFF"/>
            <w:noWrap/>
            <w:vAlign w:val="bottom"/>
            <w:hideMark/>
          </w:tcPr>
          <w:p w:rsidR="00F533AC" w:rsidRPr="00354B3D" w:rsidRDefault="00750627" w:rsidP="00F533AC">
            <w:r w:rsidRPr="00354B3D">
              <w:t xml:space="preserve">Minimum Revenue Provision </w:t>
            </w:r>
          </w:p>
        </w:tc>
        <w:tc>
          <w:tcPr>
            <w:tcW w:w="1417" w:type="dxa"/>
            <w:tcBorders>
              <w:top w:val="nil"/>
              <w:left w:val="single" w:sz="4" w:space="0" w:color="auto"/>
              <w:bottom w:val="nil"/>
              <w:right w:val="nil"/>
            </w:tcBorders>
            <w:shd w:val="clear" w:color="000000" w:fill="FFFFFF"/>
            <w:noWrap/>
            <w:vAlign w:val="bottom"/>
          </w:tcPr>
          <w:p w:rsidR="00F533AC" w:rsidRPr="00354B3D" w:rsidRDefault="00750627" w:rsidP="00F533AC">
            <w:pPr>
              <w:jc w:val="right"/>
            </w:pPr>
            <w:r w:rsidRPr="00354B3D">
              <w:t>21.337</w:t>
            </w:r>
          </w:p>
        </w:tc>
        <w:tc>
          <w:tcPr>
            <w:tcW w:w="1418" w:type="dxa"/>
            <w:tcBorders>
              <w:top w:val="nil"/>
              <w:left w:val="single" w:sz="4" w:space="0" w:color="auto"/>
              <w:bottom w:val="nil"/>
              <w:right w:val="single" w:sz="4" w:space="0" w:color="auto"/>
            </w:tcBorders>
            <w:shd w:val="clear" w:color="000000" w:fill="FFFFFF"/>
            <w:noWrap/>
            <w:vAlign w:val="bottom"/>
          </w:tcPr>
          <w:p w:rsidR="00F533AC" w:rsidRPr="00354B3D" w:rsidRDefault="00750627" w:rsidP="00F533AC">
            <w:pPr>
              <w:jc w:val="right"/>
            </w:pPr>
            <w:r w:rsidRPr="00354B3D">
              <w:t>23.432</w:t>
            </w:r>
          </w:p>
        </w:tc>
        <w:tc>
          <w:tcPr>
            <w:tcW w:w="1280" w:type="dxa"/>
            <w:tcBorders>
              <w:top w:val="nil"/>
              <w:left w:val="nil"/>
              <w:bottom w:val="nil"/>
              <w:right w:val="single" w:sz="4" w:space="0" w:color="auto"/>
            </w:tcBorders>
            <w:shd w:val="clear" w:color="000000" w:fill="FFFFFF"/>
            <w:noWrap/>
            <w:vAlign w:val="bottom"/>
          </w:tcPr>
          <w:p w:rsidR="00F533AC" w:rsidRPr="00354B3D" w:rsidRDefault="00750627" w:rsidP="00F533AC">
            <w:pPr>
              <w:jc w:val="right"/>
            </w:pPr>
            <w:r w:rsidRPr="00354B3D">
              <w:t>25.902</w:t>
            </w:r>
          </w:p>
        </w:tc>
        <w:tc>
          <w:tcPr>
            <w:tcW w:w="1220" w:type="dxa"/>
            <w:tcBorders>
              <w:top w:val="nil"/>
              <w:left w:val="nil"/>
              <w:bottom w:val="nil"/>
              <w:right w:val="single" w:sz="4" w:space="0" w:color="auto"/>
            </w:tcBorders>
            <w:shd w:val="clear" w:color="000000" w:fill="FFFFFF"/>
            <w:noWrap/>
            <w:vAlign w:val="bottom"/>
          </w:tcPr>
          <w:p w:rsidR="00F533AC" w:rsidRPr="00354B3D" w:rsidRDefault="00750627" w:rsidP="00F533AC">
            <w:pPr>
              <w:jc w:val="right"/>
            </w:pPr>
            <w:r w:rsidRPr="00354B3D">
              <w:t>27.521</w:t>
            </w:r>
          </w:p>
        </w:tc>
      </w:tr>
      <w:tr w:rsidR="00CB5B91" w:rsidTr="00F533AC">
        <w:trPr>
          <w:trHeight w:val="285"/>
        </w:trPr>
        <w:tc>
          <w:tcPr>
            <w:tcW w:w="3681" w:type="dxa"/>
            <w:tcBorders>
              <w:top w:val="nil"/>
              <w:left w:val="single" w:sz="4" w:space="0" w:color="auto"/>
              <w:bottom w:val="nil"/>
              <w:right w:val="nil"/>
            </w:tcBorders>
            <w:shd w:val="clear" w:color="000000" w:fill="FFFFFF"/>
            <w:noWrap/>
            <w:vAlign w:val="bottom"/>
            <w:hideMark/>
          </w:tcPr>
          <w:p w:rsidR="00F533AC" w:rsidRPr="00354B3D" w:rsidRDefault="00750627" w:rsidP="00F533AC">
            <w:r w:rsidRPr="00354B3D">
              <w:t xml:space="preserve">Interest </w:t>
            </w:r>
            <w:r>
              <w:t>p</w:t>
            </w:r>
            <w:r w:rsidRPr="00354B3D">
              <w:t>aid</w:t>
            </w:r>
          </w:p>
        </w:tc>
        <w:tc>
          <w:tcPr>
            <w:tcW w:w="1417" w:type="dxa"/>
            <w:tcBorders>
              <w:top w:val="nil"/>
              <w:left w:val="single" w:sz="4" w:space="0" w:color="auto"/>
              <w:bottom w:val="nil"/>
              <w:right w:val="nil"/>
            </w:tcBorders>
            <w:shd w:val="clear" w:color="000000" w:fill="FFFFFF"/>
            <w:noWrap/>
            <w:vAlign w:val="bottom"/>
          </w:tcPr>
          <w:p w:rsidR="00F533AC" w:rsidRPr="00354B3D" w:rsidRDefault="00750627" w:rsidP="00F533AC">
            <w:pPr>
              <w:jc w:val="right"/>
            </w:pPr>
            <w:r w:rsidRPr="00354B3D">
              <w:t>2</w:t>
            </w:r>
            <w:r>
              <w:t>3</w:t>
            </w:r>
            <w:r w:rsidRPr="00354B3D">
              <w:t>.</w:t>
            </w:r>
            <w:r>
              <w:t>533</w:t>
            </w:r>
          </w:p>
        </w:tc>
        <w:tc>
          <w:tcPr>
            <w:tcW w:w="1418" w:type="dxa"/>
            <w:tcBorders>
              <w:top w:val="nil"/>
              <w:left w:val="single" w:sz="4" w:space="0" w:color="auto"/>
              <w:bottom w:val="nil"/>
              <w:right w:val="single" w:sz="4" w:space="0" w:color="auto"/>
            </w:tcBorders>
            <w:shd w:val="clear" w:color="000000" w:fill="FFFFFF"/>
            <w:noWrap/>
            <w:vAlign w:val="bottom"/>
          </w:tcPr>
          <w:p w:rsidR="00F533AC" w:rsidRPr="00354B3D" w:rsidRDefault="00750627" w:rsidP="00F533AC">
            <w:pPr>
              <w:jc w:val="right"/>
            </w:pPr>
            <w:r w:rsidRPr="00354B3D">
              <w:t>23.143</w:t>
            </w:r>
          </w:p>
        </w:tc>
        <w:tc>
          <w:tcPr>
            <w:tcW w:w="1280" w:type="dxa"/>
            <w:tcBorders>
              <w:top w:val="nil"/>
              <w:left w:val="nil"/>
              <w:bottom w:val="nil"/>
              <w:right w:val="single" w:sz="4" w:space="0" w:color="auto"/>
            </w:tcBorders>
            <w:shd w:val="clear" w:color="000000" w:fill="FFFFFF"/>
            <w:noWrap/>
            <w:vAlign w:val="bottom"/>
          </w:tcPr>
          <w:p w:rsidR="00F533AC" w:rsidRPr="00354B3D" w:rsidRDefault="00750627" w:rsidP="00F533AC">
            <w:pPr>
              <w:jc w:val="right"/>
            </w:pPr>
            <w:r w:rsidRPr="00354B3D">
              <w:t>22.214</w:t>
            </w:r>
          </w:p>
        </w:tc>
        <w:tc>
          <w:tcPr>
            <w:tcW w:w="1220" w:type="dxa"/>
            <w:tcBorders>
              <w:top w:val="nil"/>
              <w:left w:val="nil"/>
              <w:bottom w:val="nil"/>
              <w:right w:val="single" w:sz="4" w:space="0" w:color="auto"/>
            </w:tcBorders>
            <w:shd w:val="clear" w:color="000000" w:fill="FFFFFF"/>
            <w:noWrap/>
            <w:vAlign w:val="bottom"/>
          </w:tcPr>
          <w:p w:rsidR="00F533AC" w:rsidRPr="00354B3D" w:rsidRDefault="00750627" w:rsidP="00F533AC">
            <w:pPr>
              <w:jc w:val="right"/>
            </w:pPr>
            <w:r w:rsidRPr="00354B3D">
              <w:t>21.918</w:t>
            </w:r>
          </w:p>
        </w:tc>
      </w:tr>
      <w:tr w:rsidR="00CB5B91" w:rsidTr="00F533AC">
        <w:trPr>
          <w:trHeight w:val="285"/>
        </w:trPr>
        <w:tc>
          <w:tcPr>
            <w:tcW w:w="3681" w:type="dxa"/>
            <w:tcBorders>
              <w:top w:val="nil"/>
              <w:left w:val="single" w:sz="4" w:space="0" w:color="auto"/>
              <w:bottom w:val="nil"/>
              <w:right w:val="nil"/>
            </w:tcBorders>
            <w:shd w:val="clear" w:color="000000" w:fill="FFFFFF"/>
            <w:noWrap/>
            <w:vAlign w:val="bottom"/>
            <w:hideMark/>
          </w:tcPr>
          <w:p w:rsidR="00F533AC" w:rsidRPr="00354B3D" w:rsidRDefault="00750627" w:rsidP="00F533AC">
            <w:r w:rsidRPr="00354B3D">
              <w:t xml:space="preserve">Interest </w:t>
            </w:r>
            <w:r>
              <w:t>e</w:t>
            </w:r>
            <w:r w:rsidRPr="00354B3D">
              <w:t>arned</w:t>
            </w:r>
          </w:p>
        </w:tc>
        <w:tc>
          <w:tcPr>
            <w:tcW w:w="1417" w:type="dxa"/>
            <w:tcBorders>
              <w:top w:val="nil"/>
              <w:left w:val="single" w:sz="4" w:space="0" w:color="auto"/>
              <w:bottom w:val="nil"/>
              <w:right w:val="nil"/>
            </w:tcBorders>
            <w:shd w:val="clear" w:color="000000" w:fill="FFFFFF"/>
            <w:noWrap/>
            <w:vAlign w:val="bottom"/>
          </w:tcPr>
          <w:p w:rsidR="00F533AC" w:rsidRPr="00354B3D" w:rsidRDefault="00750627" w:rsidP="00F533AC">
            <w:pPr>
              <w:jc w:val="right"/>
            </w:pPr>
            <w:r w:rsidRPr="00354B3D">
              <w:t>-7.912</w:t>
            </w:r>
          </w:p>
        </w:tc>
        <w:tc>
          <w:tcPr>
            <w:tcW w:w="1418" w:type="dxa"/>
            <w:tcBorders>
              <w:top w:val="nil"/>
              <w:left w:val="single" w:sz="4" w:space="0" w:color="auto"/>
              <w:bottom w:val="nil"/>
              <w:right w:val="single" w:sz="4" w:space="0" w:color="auto"/>
            </w:tcBorders>
            <w:shd w:val="clear" w:color="000000" w:fill="FFFFFF"/>
            <w:noWrap/>
            <w:vAlign w:val="bottom"/>
          </w:tcPr>
          <w:p w:rsidR="00F533AC" w:rsidRPr="00354B3D" w:rsidRDefault="00750627" w:rsidP="00F533AC">
            <w:pPr>
              <w:jc w:val="right"/>
            </w:pPr>
            <w:r w:rsidRPr="00354B3D">
              <w:t>-7.</w:t>
            </w:r>
            <w:r>
              <w:t>316</w:t>
            </w:r>
          </w:p>
        </w:tc>
        <w:tc>
          <w:tcPr>
            <w:tcW w:w="1280" w:type="dxa"/>
            <w:tcBorders>
              <w:top w:val="nil"/>
              <w:left w:val="nil"/>
              <w:bottom w:val="nil"/>
              <w:right w:val="single" w:sz="4" w:space="0" w:color="auto"/>
            </w:tcBorders>
            <w:shd w:val="clear" w:color="000000" w:fill="FFFFFF"/>
            <w:noWrap/>
            <w:vAlign w:val="bottom"/>
          </w:tcPr>
          <w:p w:rsidR="00F533AC" w:rsidRPr="00354B3D" w:rsidRDefault="00750627" w:rsidP="00F533AC">
            <w:pPr>
              <w:jc w:val="right"/>
            </w:pPr>
            <w:r w:rsidRPr="00354B3D">
              <w:t>-6.854</w:t>
            </w:r>
          </w:p>
        </w:tc>
        <w:tc>
          <w:tcPr>
            <w:tcW w:w="1220" w:type="dxa"/>
            <w:tcBorders>
              <w:top w:val="nil"/>
              <w:left w:val="nil"/>
              <w:bottom w:val="nil"/>
              <w:right w:val="single" w:sz="4" w:space="0" w:color="auto"/>
            </w:tcBorders>
            <w:shd w:val="clear" w:color="000000" w:fill="FFFFFF"/>
            <w:noWrap/>
            <w:vAlign w:val="bottom"/>
          </w:tcPr>
          <w:p w:rsidR="00F533AC" w:rsidRPr="00354B3D" w:rsidRDefault="00750627" w:rsidP="00F533AC">
            <w:pPr>
              <w:jc w:val="right"/>
            </w:pPr>
            <w:r w:rsidRPr="00354B3D">
              <w:t>-6.6</w:t>
            </w:r>
            <w:r>
              <w:t>7</w:t>
            </w:r>
            <w:r w:rsidRPr="00354B3D">
              <w:t>6</w:t>
            </w:r>
          </w:p>
        </w:tc>
      </w:tr>
      <w:tr w:rsidR="00CB5B91" w:rsidTr="00F533AC">
        <w:trPr>
          <w:trHeight w:val="285"/>
        </w:trPr>
        <w:tc>
          <w:tcPr>
            <w:tcW w:w="3681" w:type="dxa"/>
            <w:tcBorders>
              <w:top w:val="nil"/>
              <w:left w:val="single" w:sz="4" w:space="0" w:color="auto"/>
              <w:bottom w:val="nil"/>
              <w:right w:val="nil"/>
            </w:tcBorders>
            <w:shd w:val="clear" w:color="000000" w:fill="FFFFFF"/>
            <w:noWrap/>
            <w:vAlign w:val="bottom"/>
            <w:hideMark/>
          </w:tcPr>
          <w:p w:rsidR="00F533AC" w:rsidRPr="00354B3D" w:rsidRDefault="00750627" w:rsidP="00F533AC">
            <w:r w:rsidRPr="00354B3D">
              <w:t xml:space="preserve">Grants </w:t>
            </w:r>
            <w:r>
              <w:t>r</w:t>
            </w:r>
            <w:r w:rsidRPr="00354B3D">
              <w:t>eceived</w:t>
            </w:r>
          </w:p>
        </w:tc>
        <w:tc>
          <w:tcPr>
            <w:tcW w:w="1417" w:type="dxa"/>
            <w:tcBorders>
              <w:top w:val="nil"/>
              <w:left w:val="single" w:sz="4" w:space="0" w:color="auto"/>
              <w:bottom w:val="nil"/>
              <w:right w:val="nil"/>
            </w:tcBorders>
            <w:shd w:val="clear" w:color="000000" w:fill="FFFFFF"/>
            <w:noWrap/>
            <w:vAlign w:val="bottom"/>
          </w:tcPr>
          <w:p w:rsidR="00F533AC" w:rsidRPr="00354B3D" w:rsidRDefault="00750627" w:rsidP="00F533AC">
            <w:pPr>
              <w:jc w:val="right"/>
            </w:pPr>
            <w:r w:rsidRPr="00354B3D">
              <w:t>-0.240</w:t>
            </w:r>
          </w:p>
        </w:tc>
        <w:tc>
          <w:tcPr>
            <w:tcW w:w="1418" w:type="dxa"/>
            <w:tcBorders>
              <w:top w:val="nil"/>
              <w:left w:val="single" w:sz="4" w:space="0" w:color="auto"/>
              <w:bottom w:val="nil"/>
              <w:right w:val="single" w:sz="4" w:space="0" w:color="auto"/>
            </w:tcBorders>
            <w:shd w:val="clear" w:color="000000" w:fill="FFFFFF"/>
            <w:noWrap/>
            <w:vAlign w:val="bottom"/>
          </w:tcPr>
          <w:p w:rsidR="00F533AC" w:rsidRPr="00354B3D" w:rsidRDefault="00750627" w:rsidP="00F533AC">
            <w:pPr>
              <w:jc w:val="right"/>
            </w:pPr>
            <w:r w:rsidRPr="00354B3D">
              <w:t>-0.220</w:t>
            </w:r>
          </w:p>
        </w:tc>
        <w:tc>
          <w:tcPr>
            <w:tcW w:w="1280" w:type="dxa"/>
            <w:tcBorders>
              <w:top w:val="nil"/>
              <w:left w:val="nil"/>
              <w:bottom w:val="nil"/>
              <w:right w:val="single" w:sz="4" w:space="0" w:color="auto"/>
            </w:tcBorders>
            <w:shd w:val="clear" w:color="000000" w:fill="FFFFFF"/>
            <w:noWrap/>
            <w:vAlign w:val="bottom"/>
          </w:tcPr>
          <w:p w:rsidR="00F533AC" w:rsidRPr="00354B3D" w:rsidRDefault="00750627" w:rsidP="00F533AC">
            <w:pPr>
              <w:jc w:val="right"/>
            </w:pPr>
            <w:r w:rsidRPr="00354B3D">
              <w:t>-0.200</w:t>
            </w:r>
          </w:p>
        </w:tc>
        <w:tc>
          <w:tcPr>
            <w:tcW w:w="1220" w:type="dxa"/>
            <w:tcBorders>
              <w:top w:val="nil"/>
              <w:left w:val="nil"/>
              <w:bottom w:val="nil"/>
              <w:right w:val="single" w:sz="4" w:space="0" w:color="auto"/>
            </w:tcBorders>
            <w:shd w:val="clear" w:color="000000" w:fill="FFFFFF"/>
            <w:noWrap/>
            <w:vAlign w:val="bottom"/>
          </w:tcPr>
          <w:p w:rsidR="00F533AC" w:rsidRPr="00354B3D" w:rsidRDefault="00750627" w:rsidP="00F533AC">
            <w:pPr>
              <w:jc w:val="right"/>
            </w:pPr>
            <w:r w:rsidRPr="00354B3D">
              <w:t>-0.180</w:t>
            </w:r>
          </w:p>
        </w:tc>
      </w:tr>
      <w:tr w:rsidR="00CB5B91" w:rsidTr="00F533AC">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rsidR="00F533AC" w:rsidRPr="00354B3D" w:rsidRDefault="00750627" w:rsidP="00F533AC">
            <w:r w:rsidRPr="00354B3D">
              <w:t>Total</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rsidR="00F533AC" w:rsidRPr="00354B3D" w:rsidRDefault="00750627" w:rsidP="00F533AC">
            <w:pPr>
              <w:jc w:val="right"/>
            </w:pPr>
            <w:r w:rsidRPr="00354B3D">
              <w:t>36.718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533AC" w:rsidRPr="00354B3D" w:rsidRDefault="00750627" w:rsidP="00F533AC">
            <w:pPr>
              <w:jc w:val="right"/>
            </w:pPr>
            <w:r w:rsidRPr="00354B3D">
              <w:t>39.039</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rsidR="00F533AC" w:rsidRPr="00354B3D" w:rsidRDefault="00750627" w:rsidP="00F533AC">
            <w:pPr>
              <w:jc w:val="right"/>
            </w:pPr>
            <w:r w:rsidRPr="00354B3D">
              <w:t>41.062</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rsidR="00F533AC" w:rsidRPr="00354B3D" w:rsidRDefault="00750627" w:rsidP="00F533AC">
            <w:pPr>
              <w:jc w:val="right"/>
            </w:pPr>
            <w:r w:rsidRPr="00354B3D">
              <w:t>42.583</w:t>
            </w:r>
          </w:p>
        </w:tc>
      </w:tr>
    </w:tbl>
    <w:p w:rsidR="00F533AC" w:rsidRDefault="00057DFB" w:rsidP="00F533AC">
      <w:pPr>
        <w:jc w:val="both"/>
      </w:pPr>
    </w:p>
    <w:p w:rsidR="00F533AC" w:rsidRPr="00351C7D" w:rsidRDefault="00750627" w:rsidP="00F533AC">
      <w:pPr>
        <w:jc w:val="both"/>
      </w:pPr>
      <w:r w:rsidRPr="00351C7D">
        <w:t>The revenue budget above reflects a position which takes account of the views of both internal and external</w:t>
      </w:r>
      <w:r>
        <w:t xml:space="preserve"> </w:t>
      </w:r>
      <w:r w:rsidRPr="00351C7D">
        <w:t>advis</w:t>
      </w:r>
      <w:r>
        <w:t>e</w:t>
      </w:r>
      <w:r w:rsidRPr="00351C7D">
        <w:t>rs, particularly in relation to interest rate movements</w:t>
      </w:r>
      <w:r>
        <w:t>.</w:t>
      </w:r>
      <w:r w:rsidRPr="00351C7D">
        <w:t xml:space="preserve"> </w:t>
      </w:r>
      <w:r>
        <w:t>Provision has also been made for</w:t>
      </w:r>
      <w:r w:rsidRPr="00351C7D">
        <w:t xml:space="preserve"> </w:t>
      </w:r>
      <w:r>
        <w:t>changing some of the borrowing to a long term fixed rate rather than the existing short term rates.</w:t>
      </w:r>
    </w:p>
    <w:p w:rsidR="00F533AC" w:rsidRPr="00351C7D" w:rsidRDefault="00057DFB" w:rsidP="00F533AC">
      <w:pPr>
        <w:jc w:val="both"/>
      </w:pPr>
    </w:p>
    <w:p w:rsidR="00F533AC" w:rsidRDefault="00750627" w:rsidP="00F533AC">
      <w:pPr>
        <w:jc w:val="both"/>
      </w:pPr>
      <w:r w:rsidRPr="00351C7D">
        <w:t xml:space="preserve">The position will be closely monitored by the </w:t>
      </w:r>
      <w:r>
        <w:t xml:space="preserve">section </w:t>
      </w:r>
      <w:r w:rsidRPr="00351C7D">
        <w:t>151 officer and any changes will be reflect</w:t>
      </w:r>
      <w:r>
        <w:t>ed</w:t>
      </w:r>
      <w:r w:rsidRPr="00351C7D">
        <w:t xml:space="preserve"> in a revised forecast and </w:t>
      </w:r>
      <w:r>
        <w:t xml:space="preserve">included in budget monitoring or MTFS reports presented </w:t>
      </w:r>
      <w:r w:rsidRPr="00351C7D">
        <w:t>to Cabinet.</w:t>
      </w:r>
    </w:p>
    <w:p w:rsidR="00F533AC" w:rsidRDefault="00057DFB" w:rsidP="00F533AC">
      <w:pPr>
        <w:jc w:val="both"/>
      </w:pPr>
    </w:p>
    <w:p w:rsidR="00F533AC" w:rsidRPr="000C2657" w:rsidRDefault="00750627" w:rsidP="00F533AC">
      <w:pPr>
        <w:spacing w:after="240"/>
        <w:jc w:val="both"/>
        <w:rPr>
          <w:b/>
          <w:bCs/>
          <w:sz w:val="28"/>
          <w:szCs w:val="28"/>
        </w:rPr>
      </w:pPr>
      <w:r w:rsidRPr="000C2657">
        <w:rPr>
          <w:b/>
          <w:bCs/>
          <w:sz w:val="28"/>
          <w:szCs w:val="28"/>
        </w:rPr>
        <w:t>DCLG Consultation on Local Government Investments</w:t>
      </w:r>
    </w:p>
    <w:p w:rsidR="00F533AC" w:rsidRPr="00740A38" w:rsidRDefault="00750627" w:rsidP="00F533AC">
      <w:pPr>
        <w:spacing w:after="240"/>
        <w:jc w:val="both"/>
        <w:rPr>
          <w:bCs/>
        </w:rPr>
      </w:pPr>
      <w:r w:rsidRPr="00740A38">
        <w:rPr>
          <w:bCs/>
        </w:rPr>
        <w:t xml:space="preserve">DCLG </w:t>
      </w:r>
      <w:r>
        <w:rPr>
          <w:bCs/>
        </w:rPr>
        <w:t>have issued a c</w:t>
      </w:r>
      <w:r w:rsidRPr="00740A38">
        <w:rPr>
          <w:bCs/>
        </w:rPr>
        <w:t xml:space="preserve">onsultation </w:t>
      </w:r>
      <w:r>
        <w:rPr>
          <w:bCs/>
        </w:rPr>
        <w:t>p</w:t>
      </w:r>
      <w:r w:rsidRPr="00740A38">
        <w:rPr>
          <w:bCs/>
        </w:rPr>
        <w:t xml:space="preserve">aper on </w:t>
      </w:r>
      <w:r>
        <w:rPr>
          <w:bCs/>
        </w:rPr>
        <w:t>i</w:t>
      </w:r>
      <w:r w:rsidRPr="00740A38">
        <w:rPr>
          <w:bCs/>
        </w:rPr>
        <w:t>nvestments which proposes</w:t>
      </w:r>
      <w:r>
        <w:rPr>
          <w:bCs/>
        </w:rPr>
        <w:t xml:space="preserve"> an</w:t>
      </w:r>
      <w:r w:rsidRPr="00740A38">
        <w:rPr>
          <w:bCs/>
        </w:rPr>
        <w:t xml:space="preserve"> effective </w:t>
      </w:r>
      <w:r>
        <w:rPr>
          <w:bCs/>
        </w:rPr>
        <w:t>date of</w:t>
      </w:r>
      <w:r w:rsidRPr="00740A38">
        <w:rPr>
          <w:bCs/>
        </w:rPr>
        <w:t xml:space="preserve"> 1 April 2018. This includes a new definition of investments</w:t>
      </w:r>
      <w:r>
        <w:rPr>
          <w:bCs/>
        </w:rPr>
        <w:t>,</w:t>
      </w:r>
      <w:r w:rsidRPr="00740A38">
        <w:rPr>
          <w:bCs/>
        </w:rPr>
        <w:t xml:space="preserve"> </w:t>
      </w:r>
      <w:r>
        <w:rPr>
          <w:bCs/>
        </w:rPr>
        <w:t>providing that investments</w:t>
      </w:r>
      <w:r w:rsidRPr="00740A38">
        <w:rPr>
          <w:bCs/>
        </w:rPr>
        <w:t xml:space="preserve"> "covers all the financial assets of the organisation, as well as other non-financial assets which the organisation holds primarily for financial returns, such as investment property portfolios. This may therefore include investments which are not managed as part of normal treasury management or under treasury management delegations. All investments require an appropriate investment management and risk management framework under this Code.”</w:t>
      </w:r>
    </w:p>
    <w:p w:rsidR="00F533AC" w:rsidRPr="00740A38" w:rsidRDefault="00750627" w:rsidP="00F533AC">
      <w:pPr>
        <w:spacing w:after="240"/>
        <w:jc w:val="both"/>
        <w:rPr>
          <w:bCs/>
        </w:rPr>
      </w:pPr>
      <w:r w:rsidRPr="00740A38">
        <w:rPr>
          <w:bCs/>
        </w:rPr>
        <w:t>In practice, this means that any loans given or investment in assets wholly for income generation purposes are covered by the Code.  Under the proposed Code</w:t>
      </w:r>
      <w:r>
        <w:rPr>
          <w:bCs/>
        </w:rPr>
        <w:t>,</w:t>
      </w:r>
      <w:r w:rsidRPr="00740A38">
        <w:rPr>
          <w:bCs/>
        </w:rPr>
        <w:t xml:space="preserve"> loans for economic development purposes can be made even if they do not meet the strict criteria for security and liquidity. However, the Code will expect the loans to be </w:t>
      </w:r>
      <w:r w:rsidRPr="00740A38">
        <w:rPr>
          <w:bCs/>
        </w:rPr>
        <w:lastRenderedPageBreak/>
        <w:t>proportionate to the overall portfolio and limits to be set on the maximum t</w:t>
      </w:r>
      <w:r>
        <w:rPr>
          <w:bCs/>
        </w:rPr>
        <w:t>hat can</w:t>
      </w:r>
      <w:r w:rsidRPr="00740A38">
        <w:rPr>
          <w:bCs/>
        </w:rPr>
        <w:t xml:space="preserve"> be </w:t>
      </w:r>
      <w:r>
        <w:rPr>
          <w:bCs/>
        </w:rPr>
        <w:t>loaned</w:t>
      </w:r>
      <w:r w:rsidRPr="00740A38">
        <w:rPr>
          <w:bCs/>
        </w:rPr>
        <w:t xml:space="preserve">. </w:t>
      </w:r>
    </w:p>
    <w:p w:rsidR="00B566DC" w:rsidRDefault="00750627" w:rsidP="00F533AC">
      <w:pPr>
        <w:spacing w:after="240"/>
        <w:jc w:val="both"/>
        <w:rPr>
          <w:bCs/>
        </w:rPr>
      </w:pPr>
      <w:r w:rsidRPr="00740A38">
        <w:rPr>
          <w:bCs/>
        </w:rPr>
        <w:t xml:space="preserve">Similarly, </w:t>
      </w:r>
      <w:r>
        <w:rPr>
          <w:bCs/>
        </w:rPr>
        <w:t>councils</w:t>
      </w:r>
      <w:r w:rsidRPr="00740A38">
        <w:rPr>
          <w:bCs/>
        </w:rPr>
        <w:t xml:space="preserve"> can hold non-financial investment</w:t>
      </w:r>
      <w:r>
        <w:rPr>
          <w:bCs/>
        </w:rPr>
        <w:t>s</w:t>
      </w:r>
      <w:r w:rsidRPr="00740A38">
        <w:rPr>
          <w:bCs/>
        </w:rPr>
        <w:t xml:space="preserve">, which will normally </w:t>
      </w:r>
      <w:r>
        <w:rPr>
          <w:bCs/>
        </w:rPr>
        <w:t>involve</w:t>
      </w:r>
      <w:r w:rsidRPr="00740A38">
        <w:rPr>
          <w:bCs/>
        </w:rPr>
        <w:t xml:space="preserve"> a physical asset that can be realised to recoup the capital invested. The Code requires details on the assessment of risk and the action to be taken if the value of the asset no longer covers the investment.</w:t>
      </w:r>
      <w:r w:rsidRPr="00B566DC">
        <w:rPr>
          <w:bCs/>
        </w:rPr>
        <w:t xml:space="preserve"> </w:t>
      </w:r>
    </w:p>
    <w:p w:rsidR="00F533AC" w:rsidRPr="00740A38" w:rsidRDefault="00750627" w:rsidP="00F533AC">
      <w:pPr>
        <w:spacing w:after="240"/>
        <w:jc w:val="both"/>
        <w:rPr>
          <w:bCs/>
        </w:rPr>
      </w:pPr>
      <w:r>
        <w:rPr>
          <w:bCs/>
        </w:rPr>
        <w:t xml:space="preserve">If there are any required </w:t>
      </w:r>
      <w:r w:rsidRPr="00740A38">
        <w:rPr>
          <w:bCs/>
        </w:rPr>
        <w:t>action</w:t>
      </w:r>
      <w:r>
        <w:rPr>
          <w:bCs/>
        </w:rPr>
        <w:t>s,</w:t>
      </w:r>
      <w:r w:rsidRPr="00740A38">
        <w:rPr>
          <w:bCs/>
        </w:rPr>
        <w:t xml:space="preserve"> including the setting of limits</w:t>
      </w:r>
      <w:r>
        <w:rPr>
          <w:bCs/>
        </w:rPr>
        <w:t>,</w:t>
      </w:r>
      <w:r w:rsidRPr="00740A38">
        <w:rPr>
          <w:bCs/>
        </w:rPr>
        <w:t xml:space="preserve"> </w:t>
      </w:r>
      <w:r>
        <w:rPr>
          <w:bCs/>
        </w:rPr>
        <w:t xml:space="preserve">they </w:t>
      </w:r>
      <w:r w:rsidRPr="00740A38">
        <w:rPr>
          <w:bCs/>
        </w:rPr>
        <w:t>will be undertaken</w:t>
      </w:r>
      <w:r>
        <w:rPr>
          <w:bCs/>
        </w:rPr>
        <w:t xml:space="preserve"> o</w:t>
      </w:r>
      <w:r w:rsidRPr="00740A38">
        <w:rPr>
          <w:bCs/>
        </w:rPr>
        <w:t xml:space="preserve">nce the </w:t>
      </w:r>
      <w:r>
        <w:rPr>
          <w:bCs/>
        </w:rPr>
        <w:t>outcomes of the c</w:t>
      </w:r>
      <w:r w:rsidRPr="00740A38">
        <w:rPr>
          <w:bCs/>
        </w:rPr>
        <w:t xml:space="preserve">onsultation </w:t>
      </w:r>
      <w:r>
        <w:rPr>
          <w:bCs/>
        </w:rPr>
        <w:t>paper are</w:t>
      </w:r>
      <w:r w:rsidRPr="00740A38">
        <w:rPr>
          <w:bCs/>
        </w:rPr>
        <w:t xml:space="preserve"> finalised</w:t>
      </w:r>
      <w:r>
        <w:rPr>
          <w:bCs/>
        </w:rPr>
        <w:t>.</w:t>
      </w:r>
    </w:p>
    <w:p w:rsidR="00F533AC" w:rsidRDefault="00750627" w:rsidP="00F533AC">
      <w:pPr>
        <w:spacing w:after="240"/>
        <w:jc w:val="both"/>
        <w:rPr>
          <w:b/>
          <w:bCs/>
        </w:rPr>
      </w:pPr>
      <w:r w:rsidRPr="00740A38">
        <w:rPr>
          <w:bCs/>
        </w:rPr>
        <w:t>Currently,</w:t>
      </w:r>
      <w:r>
        <w:rPr>
          <w:bCs/>
        </w:rPr>
        <w:t xml:space="preserve"> the council</w:t>
      </w:r>
      <w:r w:rsidRPr="00740A38">
        <w:rPr>
          <w:bCs/>
        </w:rPr>
        <w:t xml:space="preserve"> does not make direct investment</w:t>
      </w:r>
      <w:r>
        <w:rPr>
          <w:bCs/>
        </w:rPr>
        <w:t>s</w:t>
      </w:r>
      <w:r w:rsidRPr="00740A38">
        <w:rPr>
          <w:bCs/>
        </w:rPr>
        <w:t xml:space="preserve"> in property for income generation purposes.</w:t>
      </w:r>
      <w:r>
        <w:rPr>
          <w:bCs/>
        </w:rPr>
        <w:t xml:space="preserve"> </w:t>
      </w:r>
    </w:p>
    <w:p w:rsidR="00F533AC" w:rsidRDefault="00057DFB" w:rsidP="00F533AC">
      <w:pPr>
        <w:spacing w:after="240"/>
        <w:jc w:val="both"/>
        <w:rPr>
          <w:b/>
          <w:bCs/>
        </w:rPr>
      </w:pPr>
    </w:p>
    <w:p w:rsidR="00F533AC" w:rsidRDefault="00057DFB" w:rsidP="00F533AC">
      <w:pPr>
        <w:spacing w:after="240"/>
        <w:jc w:val="both"/>
        <w:rPr>
          <w:b/>
          <w:bCs/>
        </w:rPr>
      </w:pPr>
    </w:p>
    <w:p w:rsidR="00F533AC" w:rsidRDefault="00057DFB" w:rsidP="00F533AC">
      <w:pPr>
        <w:spacing w:after="240"/>
        <w:jc w:val="both"/>
        <w:rPr>
          <w:b/>
          <w:bCs/>
        </w:rPr>
      </w:pPr>
    </w:p>
    <w:p w:rsidR="00F533AC" w:rsidRDefault="00057DFB" w:rsidP="00F533AC">
      <w:pPr>
        <w:spacing w:after="240"/>
        <w:jc w:val="both"/>
        <w:rPr>
          <w:b/>
          <w:bCs/>
        </w:rPr>
      </w:pPr>
    </w:p>
    <w:p w:rsidR="00F533AC" w:rsidRDefault="00057DFB" w:rsidP="00F533AC">
      <w:pPr>
        <w:spacing w:after="240"/>
        <w:jc w:val="both"/>
        <w:rPr>
          <w:b/>
          <w:bCs/>
        </w:rPr>
      </w:pPr>
    </w:p>
    <w:p w:rsidR="00F533AC" w:rsidRDefault="00057DFB" w:rsidP="00F533AC">
      <w:pPr>
        <w:spacing w:after="240"/>
        <w:jc w:val="both"/>
        <w:rPr>
          <w:b/>
          <w:bCs/>
        </w:rPr>
      </w:pPr>
    </w:p>
    <w:p w:rsidR="00F533AC" w:rsidRDefault="00057DFB" w:rsidP="00F533AC">
      <w:pPr>
        <w:spacing w:after="240"/>
        <w:jc w:val="both"/>
        <w:rPr>
          <w:b/>
          <w:bCs/>
        </w:rPr>
      </w:pPr>
    </w:p>
    <w:p w:rsidR="00F533AC" w:rsidRDefault="00057DFB" w:rsidP="00F533AC">
      <w:pPr>
        <w:spacing w:after="240"/>
        <w:jc w:val="both"/>
        <w:rPr>
          <w:b/>
          <w:bCs/>
        </w:rPr>
      </w:pPr>
    </w:p>
    <w:p w:rsidR="00F533AC" w:rsidRDefault="00057DFB" w:rsidP="00F533AC">
      <w:pPr>
        <w:spacing w:after="240"/>
        <w:jc w:val="both"/>
        <w:rPr>
          <w:b/>
          <w:bCs/>
        </w:rPr>
      </w:pPr>
    </w:p>
    <w:p w:rsidR="00F533AC" w:rsidRDefault="00057DFB" w:rsidP="00F533AC">
      <w:pPr>
        <w:spacing w:after="240"/>
        <w:jc w:val="both"/>
        <w:rPr>
          <w:b/>
          <w:bCs/>
        </w:rPr>
      </w:pPr>
    </w:p>
    <w:p w:rsidR="00F533AC" w:rsidRDefault="00057DFB" w:rsidP="00F533AC">
      <w:pPr>
        <w:spacing w:after="240"/>
        <w:jc w:val="both"/>
        <w:rPr>
          <w:b/>
          <w:bCs/>
        </w:rPr>
      </w:pPr>
    </w:p>
    <w:p w:rsidR="00F533AC" w:rsidRDefault="00057DFB" w:rsidP="00F533AC">
      <w:pPr>
        <w:spacing w:after="240"/>
        <w:jc w:val="both"/>
        <w:rPr>
          <w:b/>
          <w:bCs/>
        </w:rPr>
      </w:pPr>
    </w:p>
    <w:p w:rsidR="00F533AC" w:rsidRDefault="00057DFB" w:rsidP="00F533AC">
      <w:pPr>
        <w:spacing w:after="240"/>
        <w:jc w:val="both"/>
        <w:rPr>
          <w:b/>
          <w:bCs/>
        </w:rPr>
      </w:pPr>
    </w:p>
    <w:p w:rsidR="00F533AC" w:rsidRDefault="00057DFB" w:rsidP="00F533AC">
      <w:pPr>
        <w:spacing w:after="240"/>
        <w:jc w:val="both"/>
        <w:rPr>
          <w:b/>
          <w:bCs/>
        </w:rPr>
      </w:pPr>
    </w:p>
    <w:p w:rsidR="00F533AC" w:rsidRDefault="00057DFB" w:rsidP="00F533AC">
      <w:pPr>
        <w:spacing w:after="240"/>
        <w:jc w:val="both"/>
        <w:rPr>
          <w:b/>
          <w:bCs/>
        </w:rPr>
      </w:pPr>
    </w:p>
    <w:p w:rsidR="00F533AC" w:rsidRDefault="00057DFB" w:rsidP="00F533AC">
      <w:pPr>
        <w:spacing w:after="240"/>
        <w:jc w:val="both"/>
        <w:rPr>
          <w:b/>
          <w:bCs/>
        </w:rPr>
      </w:pPr>
    </w:p>
    <w:p w:rsidR="00F533AC" w:rsidRDefault="00057DFB" w:rsidP="00F533AC">
      <w:pPr>
        <w:spacing w:after="240"/>
        <w:jc w:val="both"/>
        <w:rPr>
          <w:b/>
          <w:bCs/>
        </w:rPr>
      </w:pPr>
    </w:p>
    <w:p w:rsidR="00F533AC" w:rsidRDefault="00057DFB" w:rsidP="00F533AC">
      <w:pPr>
        <w:spacing w:after="240"/>
        <w:jc w:val="both"/>
        <w:rPr>
          <w:b/>
          <w:bCs/>
        </w:rPr>
      </w:pPr>
    </w:p>
    <w:p w:rsidR="00F533AC" w:rsidRDefault="00057DFB" w:rsidP="00F533AC">
      <w:pPr>
        <w:spacing w:after="240"/>
        <w:jc w:val="both"/>
        <w:rPr>
          <w:b/>
          <w:bCs/>
        </w:rPr>
      </w:pPr>
    </w:p>
    <w:p w:rsidR="00F533AC" w:rsidRDefault="00057DFB" w:rsidP="00F533AC">
      <w:pPr>
        <w:spacing w:after="240"/>
        <w:jc w:val="right"/>
        <w:rPr>
          <w:bCs/>
        </w:rPr>
      </w:pPr>
    </w:p>
    <w:p w:rsidR="00F533AC" w:rsidRPr="004977DB" w:rsidRDefault="00750627" w:rsidP="00F533AC">
      <w:pPr>
        <w:spacing w:after="240"/>
        <w:jc w:val="right"/>
        <w:rPr>
          <w:bCs/>
        </w:rPr>
      </w:pPr>
      <w:r w:rsidRPr="004977DB">
        <w:rPr>
          <w:bCs/>
        </w:rPr>
        <w:lastRenderedPageBreak/>
        <w:t>Annex A</w:t>
      </w:r>
    </w:p>
    <w:p w:rsidR="00F533AC" w:rsidRPr="00354B3D" w:rsidRDefault="00750627" w:rsidP="00F533AC">
      <w:pPr>
        <w:rPr>
          <w:b/>
          <w:sz w:val="28"/>
          <w:szCs w:val="28"/>
        </w:rPr>
      </w:pPr>
      <w:r w:rsidRPr="00354B3D">
        <w:rPr>
          <w:b/>
          <w:sz w:val="28"/>
          <w:szCs w:val="28"/>
        </w:rPr>
        <w:t>PRUDENTIAL INDICATORS</w:t>
      </w:r>
    </w:p>
    <w:p w:rsidR="00F533AC" w:rsidRPr="002A48EA" w:rsidRDefault="00057DFB" w:rsidP="00F533AC"/>
    <w:p w:rsidR="00F533AC" w:rsidRDefault="00750627" w:rsidP="00F533AC">
      <w:pPr>
        <w:spacing w:after="240"/>
        <w:jc w:val="both"/>
        <w:rPr>
          <w:b/>
        </w:rPr>
      </w:pPr>
      <w:r w:rsidRPr="002A48EA">
        <w:t xml:space="preserve">In line with the relevant legislation the </w:t>
      </w:r>
      <w:r>
        <w:t>county council</w:t>
      </w:r>
      <w:r w:rsidRPr="002A48EA">
        <w:t xml:space="preserve"> has adopted the Prudential Code for Capital Finance in Local Authorities and the CIPFA Treasury Management in the Public Services Code of Practice</w:t>
      </w:r>
      <w:r>
        <w:t xml:space="preserve"> (2011)</w:t>
      </w:r>
      <w:r w:rsidRPr="002A48EA">
        <w:t xml:space="preserve"> as setting the framework of principles for its </w:t>
      </w:r>
      <w:r>
        <w:t>t</w:t>
      </w:r>
      <w:r w:rsidRPr="002A48EA">
        <w:t xml:space="preserve">reasury </w:t>
      </w:r>
      <w:r>
        <w:t>m</w:t>
      </w:r>
      <w:r w:rsidRPr="002A48EA">
        <w:t>anagement activities. In accordance with the requirements of these codes the</w:t>
      </w:r>
      <w:r>
        <w:t xml:space="preserve"> council</w:t>
      </w:r>
      <w:r w:rsidRPr="002A48EA">
        <w:t xml:space="preserve"> produces each year a set of prudential indicators which assist in the process of monitoring the degree of prudence with which the </w:t>
      </w:r>
      <w:r>
        <w:t>c</w:t>
      </w:r>
      <w:r w:rsidRPr="002A48EA">
        <w:t xml:space="preserve">ouncil undertakes its </w:t>
      </w:r>
      <w:r>
        <w:t>c</w:t>
      </w:r>
      <w:r w:rsidRPr="002A48EA">
        <w:t xml:space="preserve">apital </w:t>
      </w:r>
      <w:r>
        <w:t>e</w:t>
      </w:r>
      <w:r w:rsidRPr="002A48EA">
        <w:t xml:space="preserve">xpenditure and </w:t>
      </w:r>
      <w:r>
        <w:t>t</w:t>
      </w:r>
      <w:r w:rsidRPr="002A48EA">
        <w:t xml:space="preserve">reasury </w:t>
      </w:r>
      <w:r>
        <w:t>m</w:t>
      </w:r>
      <w:r w:rsidRPr="002A48EA">
        <w:t xml:space="preserve">anagement activities. </w:t>
      </w:r>
      <w:r>
        <w:t>Specific</w:t>
      </w:r>
      <w:r w:rsidRPr="002A48EA">
        <w:t xml:space="preserve"> indicators also provide limits with regard to certain types of activity such as borrowing. These indicators are a consequence of the acti</w:t>
      </w:r>
      <w:r>
        <w:t>vities</w:t>
      </w:r>
      <w:r w:rsidRPr="002A48EA">
        <w:t xml:space="preserve"> set out within the Treasury Management Strategy.</w:t>
      </w:r>
    </w:p>
    <w:p w:rsidR="00F533AC" w:rsidRPr="004977DB" w:rsidRDefault="00750627" w:rsidP="00F533AC">
      <w:pPr>
        <w:pStyle w:val="Heading3"/>
        <w:rPr>
          <w:u w:val="single"/>
        </w:rPr>
      </w:pPr>
      <w:r w:rsidRPr="004977DB">
        <w:rPr>
          <w:u w:val="single"/>
        </w:rPr>
        <w:t>Capital Expenditure and Financing</w:t>
      </w:r>
    </w:p>
    <w:p w:rsidR="00F533AC" w:rsidRPr="002A48EA" w:rsidRDefault="00750627" w:rsidP="00F533AC">
      <w:pPr>
        <w:spacing w:after="240"/>
        <w:jc w:val="both"/>
      </w:pPr>
      <w:r w:rsidRPr="002A48EA">
        <w:t xml:space="preserve">The total capital expenditure in each year, irrespective of the method of financing estimated to be incurred by the </w:t>
      </w:r>
      <w:r>
        <w:t>council</w:t>
      </w:r>
      <w:r w:rsidRPr="002A48EA">
        <w:t xml:space="preserve"> is as follows: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01"/>
        <w:gridCol w:w="1843"/>
        <w:gridCol w:w="1559"/>
        <w:gridCol w:w="1984"/>
      </w:tblGrid>
      <w:tr w:rsidR="00CB5B91" w:rsidTr="00F533AC">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Actual</w:t>
            </w:r>
          </w:p>
        </w:tc>
        <w:tc>
          <w:tcPr>
            <w:tcW w:w="7087" w:type="dxa"/>
            <w:gridSpan w:val="4"/>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Estimate</w:t>
            </w:r>
          </w:p>
        </w:tc>
      </w:tr>
      <w:tr w:rsidR="00CB5B91" w:rsidTr="00F533AC">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2016/17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2017/18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2018/19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2019/20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2020/21</w:t>
            </w:r>
          </w:p>
        </w:tc>
      </w:tr>
      <w:tr w:rsidR="00CB5B91" w:rsidTr="00F533AC">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right"/>
            </w:pPr>
            <w:r w:rsidRPr="00354B3D">
              <w:t>£144.653m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right"/>
            </w:pPr>
            <w:r w:rsidRPr="00354B3D">
              <w:t>£155.271m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right"/>
            </w:pPr>
            <w:r w:rsidRPr="00354B3D">
              <w:t>£161.392m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right"/>
            </w:pPr>
            <w:r w:rsidRPr="00354B3D">
              <w:t>£59.928m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right"/>
            </w:pPr>
            <w:r w:rsidRPr="00354B3D">
              <w:t>£4.797m</w:t>
            </w:r>
          </w:p>
        </w:tc>
      </w:tr>
    </w:tbl>
    <w:p w:rsidR="00F533AC" w:rsidRDefault="00057DFB" w:rsidP="00F533AC"/>
    <w:p w:rsidR="00F533AC" w:rsidRDefault="00750627" w:rsidP="00F533AC">
      <w:pPr>
        <w:jc w:val="both"/>
      </w:pPr>
      <w:r w:rsidRPr="002A48EA">
        <w:t>The estimated capital expenditure stated above will be financed by a mixture of borrowing, capital receipts, revenue contributions, grants and other contributions.  A key control of the prudential system is the underlying need to borrow for capital purposes, which is represented by the cumulative effect of past borrowing decisions and future plans.  This is shown as the capital financing requirement.  This is not the same as the actual borrowing on any one day, as day to day borrowing requirements incorporate the effect of cash flow movements relating to both capital and revenue expenditure and income.  The estimate of the capital financing requirement for each year is as follows, and includes the impact of PFI obligations.</w:t>
      </w:r>
    </w:p>
    <w:p w:rsidR="00F533AC" w:rsidRDefault="00057DFB" w:rsidP="00F533AC">
      <w:pP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701"/>
        <w:gridCol w:w="1985"/>
        <w:gridCol w:w="1701"/>
        <w:gridCol w:w="1842"/>
      </w:tblGrid>
      <w:tr w:rsidR="00CB5B91" w:rsidTr="00F533AC">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Actual</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Estimate</w:t>
            </w:r>
          </w:p>
        </w:tc>
      </w:tr>
      <w:tr w:rsidR="00CB5B91" w:rsidTr="00F533AC">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2016/17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2017/18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2018/19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2019/20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center"/>
            </w:pPr>
            <w:r w:rsidRPr="00354B3D">
              <w:t>2020/21</w:t>
            </w:r>
          </w:p>
        </w:tc>
      </w:tr>
      <w:tr w:rsidR="00CB5B91" w:rsidTr="00F533AC">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right"/>
            </w:pPr>
            <w:r w:rsidRPr="00354B3D">
              <w:t>£1,002.017m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right"/>
            </w:pPr>
            <w:r w:rsidRPr="00354B3D">
              <w:t>£1,060.</w:t>
            </w:r>
            <w:r>
              <w:t>298</w:t>
            </w:r>
            <w:r w:rsidRPr="00354B3D">
              <w:t>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right"/>
            </w:pPr>
            <w:r w:rsidRPr="00354B3D">
              <w:t>£1,104.3</w:t>
            </w:r>
            <w:r>
              <w:t>75</w:t>
            </w:r>
            <w:r w:rsidRPr="00354B3D">
              <w:t>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right"/>
            </w:pPr>
            <w:r w:rsidRPr="00354B3D">
              <w:t>£1,111.0</w:t>
            </w:r>
            <w:r>
              <w:t>17</w:t>
            </w:r>
            <w:r w:rsidRPr="00354B3D">
              <w:t>m</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533AC" w:rsidRPr="00354B3D" w:rsidRDefault="00750627" w:rsidP="00F533AC">
            <w:pPr>
              <w:jc w:val="right"/>
            </w:pPr>
            <w:r w:rsidRPr="00354B3D">
              <w:t>£1,080.85</w:t>
            </w:r>
            <w:r>
              <w:t>1</w:t>
            </w:r>
            <w:r w:rsidRPr="00354B3D">
              <w:t>m</w:t>
            </w:r>
          </w:p>
        </w:tc>
      </w:tr>
    </w:tbl>
    <w:p w:rsidR="00F533AC" w:rsidRPr="004977DB" w:rsidRDefault="00750627" w:rsidP="00F533AC">
      <w:pPr>
        <w:pStyle w:val="Heading3"/>
        <w:rPr>
          <w:u w:val="single"/>
        </w:rPr>
      </w:pPr>
      <w:r w:rsidRPr="004977DB">
        <w:rPr>
          <w:u w:val="single"/>
        </w:rPr>
        <w:t>Prudence and Affordability</w:t>
      </w:r>
    </w:p>
    <w:p w:rsidR="00F533AC" w:rsidRPr="00F861B8" w:rsidRDefault="00750627" w:rsidP="00F533AC">
      <w:pPr>
        <w:jc w:val="both"/>
      </w:pPr>
      <w:r w:rsidRPr="00F861B8">
        <w:t>CIPFA's Prudential Code for Capital Finance in Local Authorities states the following as a key indicator of prudence:</w:t>
      </w:r>
    </w:p>
    <w:p w:rsidR="00F533AC" w:rsidRPr="00F861B8" w:rsidRDefault="00057DFB" w:rsidP="00F533AC">
      <w:pPr>
        <w:jc w:val="both"/>
      </w:pPr>
    </w:p>
    <w:p w:rsidR="00F533AC" w:rsidRPr="00F861B8" w:rsidRDefault="00750627" w:rsidP="00F533AC">
      <w:pPr>
        <w:pStyle w:val="BodyTextIndent"/>
        <w:spacing w:after="0"/>
        <w:ind w:left="0"/>
        <w:jc w:val="both"/>
      </w:pPr>
      <w:r w:rsidRPr="00F861B8">
        <w:t>"In order to ensure that, over the medium term, net borrowing will only be used for a capital purpose, the local authority should ensure that net external borrowing does not, except in the short term, exceed the total of capital financing requirement in the preceding year, plus the estimates of any additional capital financing requirement for the current and next two financial years"</w:t>
      </w:r>
      <w:r>
        <w:t>.</w:t>
      </w:r>
    </w:p>
    <w:p w:rsidR="00F533AC" w:rsidRPr="00F861B8" w:rsidRDefault="00057DFB" w:rsidP="00F533AC">
      <w:pPr>
        <w:pStyle w:val="BodyTextIndent"/>
        <w:spacing w:after="0"/>
        <w:ind w:left="0"/>
        <w:jc w:val="both"/>
      </w:pPr>
    </w:p>
    <w:p w:rsidR="00F533AC" w:rsidRPr="00F861B8" w:rsidRDefault="00750627" w:rsidP="00F533AC">
      <w:pPr>
        <w:jc w:val="both"/>
      </w:pPr>
      <w:r w:rsidRPr="00F861B8">
        <w:t>The council's financial plans are prepared on this basis and, indeed the policy on borrowing in advance of need explicitly references this statement as part of the decision making criteria.</w:t>
      </w:r>
    </w:p>
    <w:p w:rsidR="00F533AC" w:rsidRPr="00F861B8" w:rsidRDefault="00750627" w:rsidP="00F533AC">
      <w:pPr>
        <w:jc w:val="both"/>
      </w:pPr>
      <w:r w:rsidRPr="00F861B8">
        <w:lastRenderedPageBreak/>
        <w:t>It is important to ensure that the plans for capital expenditure and borrowing are affordable in the long term.  To this purpose the code requires an indicator which estimates the ratio of financing costs to the net revenue stream.</w:t>
      </w:r>
    </w:p>
    <w:p w:rsidR="00F533AC" w:rsidRPr="00F861B8" w:rsidRDefault="00057DFB" w:rsidP="00F533AC">
      <w:pPr>
        <w:jc w:val="both"/>
      </w:pPr>
    </w:p>
    <w:p w:rsidR="00F533AC" w:rsidRPr="00F861B8" w:rsidRDefault="00750627" w:rsidP="00F533AC">
      <w:pPr>
        <w:jc w:val="both"/>
      </w:pPr>
      <w:r w:rsidRPr="00F861B8">
        <w:t>The financing costs are the interest payable on borrowing, finance lease or other long term liabilities and the amount defined by statute which needs to be charged to revenue to reflect the repayment of the principal element of the council’s borrowing.  Any additional payments in excess of the statutory amount or the cost of early repayment or rescheduling of debt would be included within the financing cost.  Financing costs are expressed net of investment income.</w:t>
      </w:r>
    </w:p>
    <w:p w:rsidR="00F533AC" w:rsidRDefault="00057DFB" w:rsidP="00F533AC">
      <w:pPr>
        <w:pStyle w:val="BodyTextIndent"/>
        <w:spacing w:after="0"/>
        <w:ind w:left="0"/>
        <w:jc w:val="both"/>
      </w:pPr>
    </w:p>
    <w:p w:rsidR="00F533AC" w:rsidRDefault="00750627" w:rsidP="00F533AC">
      <w:pPr>
        <w:pStyle w:val="BodyTextIndent"/>
        <w:spacing w:after="0"/>
        <w:ind w:left="0"/>
        <w:jc w:val="both"/>
      </w:pPr>
      <w:r w:rsidRPr="00F861B8">
        <w:t xml:space="preserve">The net revenue stream is defined as the amount required to be funded from </w:t>
      </w:r>
      <w:r>
        <w:t>g</w:t>
      </w:r>
      <w:r w:rsidRPr="00F861B8">
        <w:t xml:space="preserve">overnment </w:t>
      </w:r>
      <w:r>
        <w:t>g</w:t>
      </w:r>
      <w:r w:rsidRPr="00F861B8">
        <w:t>rants and local taxpayers, in effect the budget requirement.</w:t>
      </w:r>
      <w:r>
        <w:t xml:space="preserve"> </w:t>
      </w:r>
      <w:r w:rsidRPr="00F861B8">
        <w:t>Estimates of the ratio of financing costs to net revenue (or budget requirement) are as follows:</w:t>
      </w:r>
    </w:p>
    <w:p w:rsidR="00F533AC" w:rsidRDefault="00057DFB" w:rsidP="00F533AC">
      <w:pPr>
        <w:rPr>
          <w:highlight w:val="yellow"/>
        </w:rPr>
      </w:pPr>
    </w:p>
    <w:tbl>
      <w:tblPr>
        <w:tblW w:w="9072" w:type="dxa"/>
        <w:tblInd w:w="-5" w:type="dxa"/>
        <w:tblLook w:val="04A0" w:firstRow="1" w:lastRow="0" w:firstColumn="1" w:lastColumn="0" w:noHBand="0" w:noVBand="1"/>
      </w:tblPr>
      <w:tblGrid>
        <w:gridCol w:w="2410"/>
        <w:gridCol w:w="2126"/>
        <w:gridCol w:w="2127"/>
        <w:gridCol w:w="2409"/>
      </w:tblGrid>
      <w:tr w:rsidR="00CB5B91" w:rsidTr="00F533AC">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2017/18</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2018/19</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2019/20</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2020/21</w:t>
            </w:r>
          </w:p>
        </w:tc>
      </w:tr>
      <w:tr w:rsidR="00CB5B91" w:rsidTr="00F533AC">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4.79%</w:t>
            </w:r>
          </w:p>
        </w:tc>
        <w:tc>
          <w:tcPr>
            <w:tcW w:w="2126"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5.22%</w:t>
            </w:r>
          </w:p>
        </w:tc>
        <w:tc>
          <w:tcPr>
            <w:tcW w:w="212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5.46%</w:t>
            </w:r>
          </w:p>
        </w:tc>
        <w:tc>
          <w:tcPr>
            <w:tcW w:w="2409"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5.77%</w:t>
            </w:r>
          </w:p>
        </w:tc>
      </w:tr>
    </w:tbl>
    <w:p w:rsidR="00F533AC" w:rsidRPr="001143BB" w:rsidRDefault="00057DFB" w:rsidP="00F533AC">
      <w:pPr>
        <w:rPr>
          <w:highlight w:val="yellow"/>
        </w:rPr>
      </w:pPr>
    </w:p>
    <w:p w:rsidR="00F533AC" w:rsidRDefault="00750627" w:rsidP="00F533AC">
      <w:pPr>
        <w:pStyle w:val="BodyTextIndent"/>
        <w:spacing w:after="0"/>
        <w:ind w:left="0"/>
        <w:jc w:val="both"/>
        <w:rPr>
          <w:color w:val="000000"/>
        </w:rPr>
      </w:pPr>
      <w:r w:rsidRPr="00F861B8">
        <w:rPr>
          <w:color w:val="000000"/>
        </w:rPr>
        <w:t xml:space="preserve">The </w:t>
      </w:r>
      <w:r>
        <w:rPr>
          <w:color w:val="000000"/>
        </w:rPr>
        <w:t>c</w:t>
      </w:r>
      <w:r w:rsidRPr="00F861B8">
        <w:rPr>
          <w:color w:val="000000"/>
        </w:rPr>
        <w:t xml:space="preserve">apital </w:t>
      </w:r>
      <w:r>
        <w:rPr>
          <w:color w:val="000000"/>
        </w:rPr>
        <w:t>p</w:t>
      </w:r>
      <w:r w:rsidRPr="00F861B8">
        <w:rPr>
          <w:color w:val="000000"/>
        </w:rPr>
        <w:t xml:space="preserve">rogramme is being considered by the </w:t>
      </w:r>
      <w:r>
        <w:rPr>
          <w:color w:val="000000"/>
        </w:rPr>
        <w:t>c</w:t>
      </w:r>
      <w:r w:rsidRPr="00F861B8">
        <w:rPr>
          <w:color w:val="000000"/>
        </w:rPr>
        <w:t xml:space="preserve">ouncil and is not </w:t>
      </w:r>
      <w:r>
        <w:rPr>
          <w:color w:val="000000"/>
        </w:rPr>
        <w:t>currently</w:t>
      </w:r>
      <w:r w:rsidRPr="00F861B8">
        <w:rPr>
          <w:color w:val="000000"/>
        </w:rPr>
        <w:t xml:space="preserve"> finalised. The indicators have been calculated</w:t>
      </w:r>
      <w:r>
        <w:rPr>
          <w:color w:val="000000"/>
        </w:rPr>
        <w:t xml:space="preserve"> i</w:t>
      </w:r>
      <w:r w:rsidRPr="00F861B8">
        <w:rPr>
          <w:color w:val="000000"/>
        </w:rPr>
        <w:t xml:space="preserve">ncluding the cost of financing the borrowing already included in the </w:t>
      </w:r>
      <w:r>
        <w:rPr>
          <w:color w:val="000000"/>
        </w:rPr>
        <w:t>p</w:t>
      </w:r>
      <w:r w:rsidRPr="00F861B8">
        <w:rPr>
          <w:color w:val="000000"/>
        </w:rPr>
        <w:t>rogramme</w:t>
      </w:r>
      <w:r>
        <w:rPr>
          <w:color w:val="000000"/>
        </w:rPr>
        <w:t>. It assumes that any further new starts will be funded by grants or contributions and therefore borrowing is not required.</w:t>
      </w:r>
      <w:r w:rsidRPr="00F861B8">
        <w:rPr>
          <w:color w:val="000000"/>
        </w:rPr>
        <w:t xml:space="preserve"> </w:t>
      </w:r>
      <w:r>
        <w:rPr>
          <w:color w:val="000000"/>
        </w:rPr>
        <w:t>I</w:t>
      </w:r>
      <w:r w:rsidRPr="00F861B8">
        <w:rPr>
          <w:color w:val="000000"/>
        </w:rPr>
        <w:t>t is estimated that the</w:t>
      </w:r>
      <w:r>
        <w:rPr>
          <w:color w:val="000000"/>
        </w:rPr>
        <w:t xml:space="preserve"> incremental</w:t>
      </w:r>
      <w:r w:rsidRPr="00F861B8">
        <w:rPr>
          <w:color w:val="000000"/>
        </w:rPr>
        <w:t xml:space="preserve"> </w:t>
      </w:r>
      <w:r>
        <w:rPr>
          <w:color w:val="000000"/>
        </w:rPr>
        <w:t>c</w:t>
      </w:r>
      <w:r w:rsidRPr="00F861B8">
        <w:rPr>
          <w:color w:val="000000"/>
        </w:rPr>
        <w:t xml:space="preserve">ouncil </w:t>
      </w:r>
      <w:r>
        <w:rPr>
          <w:color w:val="000000"/>
        </w:rPr>
        <w:t>t</w:t>
      </w:r>
      <w:r w:rsidRPr="00F861B8">
        <w:rPr>
          <w:color w:val="000000"/>
        </w:rPr>
        <w:t xml:space="preserve">ax impact of the </w:t>
      </w:r>
      <w:r>
        <w:rPr>
          <w:color w:val="000000"/>
        </w:rPr>
        <w:t>p</w:t>
      </w:r>
      <w:r w:rsidRPr="00F861B8">
        <w:rPr>
          <w:color w:val="000000"/>
        </w:rPr>
        <w:t xml:space="preserve">rogramme </w:t>
      </w:r>
      <w:r>
        <w:rPr>
          <w:color w:val="000000"/>
        </w:rPr>
        <w:t xml:space="preserve">on taxpayers </w:t>
      </w:r>
      <w:r w:rsidRPr="00F861B8">
        <w:rPr>
          <w:color w:val="000000"/>
        </w:rPr>
        <w:t>will be:</w:t>
      </w:r>
    </w:p>
    <w:tbl>
      <w:tblPr>
        <w:tblW w:w="9072" w:type="dxa"/>
        <w:tblLook w:val="04A0" w:firstRow="1" w:lastRow="0" w:firstColumn="1" w:lastColumn="0" w:noHBand="0" w:noVBand="1"/>
      </w:tblPr>
      <w:tblGrid>
        <w:gridCol w:w="2835"/>
        <w:gridCol w:w="2977"/>
        <w:gridCol w:w="3260"/>
      </w:tblGrid>
      <w:tr w:rsidR="00CB5B91" w:rsidTr="00F533AC">
        <w:trPr>
          <w:trHeight w:val="300"/>
        </w:trPr>
        <w:tc>
          <w:tcPr>
            <w:tcW w:w="9072" w:type="dxa"/>
            <w:gridSpan w:val="3"/>
            <w:tcBorders>
              <w:top w:val="nil"/>
              <w:left w:val="nil"/>
              <w:bottom w:val="single" w:sz="4" w:space="0" w:color="auto"/>
              <w:right w:val="nil"/>
            </w:tcBorders>
            <w:shd w:val="clear" w:color="auto" w:fill="auto"/>
            <w:vAlign w:val="bottom"/>
            <w:hideMark/>
          </w:tcPr>
          <w:p w:rsidR="00F533AC" w:rsidRPr="00354B3D" w:rsidRDefault="00057DFB" w:rsidP="00F533AC">
            <w:pPr>
              <w:rPr>
                <w:color w:val="000000"/>
              </w:rPr>
            </w:pPr>
          </w:p>
        </w:tc>
      </w:tr>
      <w:tr w:rsidR="00CB5B91" w:rsidTr="00F533AC">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2018/19</w:t>
            </w:r>
          </w:p>
        </w:tc>
        <w:tc>
          <w:tcPr>
            <w:tcW w:w="297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2019/20</w:t>
            </w:r>
          </w:p>
        </w:tc>
        <w:tc>
          <w:tcPr>
            <w:tcW w:w="3260"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2020/21</w:t>
            </w:r>
          </w:p>
        </w:tc>
      </w:tr>
      <w:tr w:rsidR="00CB5B91" w:rsidTr="00F533AC">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£7.58</w:t>
            </w:r>
          </w:p>
        </w:tc>
        <w:tc>
          <w:tcPr>
            <w:tcW w:w="297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3F028F">
            <w:pPr>
              <w:jc w:val="right"/>
              <w:rPr>
                <w:color w:val="000000"/>
              </w:rPr>
            </w:pPr>
            <w:r w:rsidRPr="00354B3D">
              <w:rPr>
                <w:color w:val="000000"/>
              </w:rPr>
              <w:t>£</w:t>
            </w:r>
            <w:r>
              <w:rPr>
                <w:color w:val="000000"/>
              </w:rPr>
              <w:t>8.36</w:t>
            </w:r>
          </w:p>
        </w:tc>
        <w:tc>
          <w:tcPr>
            <w:tcW w:w="3260"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3F028F">
            <w:pPr>
              <w:jc w:val="right"/>
              <w:rPr>
                <w:color w:val="000000"/>
              </w:rPr>
            </w:pPr>
            <w:r w:rsidRPr="00354B3D">
              <w:rPr>
                <w:color w:val="000000"/>
              </w:rPr>
              <w:t>£</w:t>
            </w:r>
            <w:r>
              <w:rPr>
                <w:color w:val="000000"/>
              </w:rPr>
              <w:t>3.68</w:t>
            </w:r>
          </w:p>
        </w:tc>
      </w:tr>
    </w:tbl>
    <w:p w:rsidR="00F533AC" w:rsidRPr="00F861B8" w:rsidRDefault="00057DFB" w:rsidP="00F533AC">
      <w:pPr>
        <w:pStyle w:val="BodyTextIndent"/>
        <w:spacing w:after="0"/>
        <w:ind w:left="0"/>
      </w:pPr>
    </w:p>
    <w:p w:rsidR="00F533AC" w:rsidRPr="00354B3D" w:rsidRDefault="00750627" w:rsidP="00F533AC">
      <w:pPr>
        <w:rPr>
          <w:b/>
          <w:u w:val="single"/>
        </w:rPr>
      </w:pPr>
      <w:r w:rsidRPr="00354B3D">
        <w:rPr>
          <w:b/>
          <w:u w:val="single"/>
        </w:rPr>
        <w:t>External Debt</w:t>
      </w:r>
    </w:p>
    <w:p w:rsidR="00F533AC" w:rsidRPr="005A1A62" w:rsidRDefault="00750627" w:rsidP="00F533AC">
      <w:pPr>
        <w:jc w:val="both"/>
      </w:pPr>
      <w:r w:rsidRPr="005A1A62">
        <w:t xml:space="preserve">The </w:t>
      </w:r>
      <w:r>
        <w:t>council</w:t>
      </w:r>
      <w:r w:rsidRPr="005A1A62">
        <w:t xml:space="preserve"> is required to approve an “authorised limit” and an “operational boundary” for external debt.  The limits proposed are consistent with the proposals for capital investment and with the approved treasury management policy statement and practices.  The limits also include provision for the £150m cap on the shared investment scheme. The indicators are split between borrowing and other long term liabilities, such as PFI projects.  It is proposed </w:t>
      </w:r>
      <w:r>
        <w:t>that this is an overall limit but the</w:t>
      </w:r>
      <w:r w:rsidRPr="005A1A62">
        <w:t xml:space="preserve"> </w:t>
      </w:r>
      <w:r>
        <w:t>section 151</w:t>
      </w:r>
      <w:r w:rsidRPr="005A1A62">
        <w:t xml:space="preserve"> </w:t>
      </w:r>
      <w:r>
        <w:t>Officer can approve a switch between borrowing and other long term liabilities.</w:t>
      </w:r>
    </w:p>
    <w:p w:rsidR="00F533AC" w:rsidRPr="005A1A62" w:rsidRDefault="00057DFB" w:rsidP="00F533AC"/>
    <w:p w:rsidR="00F533AC" w:rsidRDefault="00750627" w:rsidP="00F533AC">
      <w:pPr>
        <w:jc w:val="both"/>
      </w:pPr>
      <w:r w:rsidRPr="005A1A62">
        <w:t xml:space="preserve">The </w:t>
      </w:r>
      <w:r>
        <w:t>'</w:t>
      </w:r>
      <w:r w:rsidRPr="005A1A62">
        <w:t>authorised limit</w:t>
      </w:r>
      <w:r>
        <w:t>'</w:t>
      </w:r>
      <w:r w:rsidRPr="005A1A62">
        <w:t xml:space="preserve"> is a prudent estimate of external debt, but allows sufficient headroom for unusual cash flow movements.  </w:t>
      </w:r>
      <w:r>
        <w:t>T</w:t>
      </w:r>
      <w:r w:rsidRPr="005A1A62">
        <w:t>aking into account the capital plans and estimates of cash flow and its risks, the authorised limits for external debt are</w:t>
      </w:r>
      <w:r>
        <w:t xml:space="preserve"> as follows</w:t>
      </w:r>
      <w:r w:rsidRPr="005A1A62">
        <w:t>:</w:t>
      </w:r>
    </w:p>
    <w:p w:rsidR="00F533AC" w:rsidRDefault="00057DFB" w:rsidP="00F533AC">
      <w:pPr>
        <w:jc w:val="both"/>
      </w:pPr>
    </w:p>
    <w:tbl>
      <w:tblPr>
        <w:tblW w:w="8931" w:type="dxa"/>
        <w:tblLook w:val="04A0" w:firstRow="1" w:lastRow="0" w:firstColumn="1" w:lastColumn="0" w:noHBand="0" w:noVBand="1"/>
      </w:tblPr>
      <w:tblGrid>
        <w:gridCol w:w="2977"/>
        <w:gridCol w:w="1559"/>
        <w:gridCol w:w="1560"/>
        <w:gridCol w:w="1417"/>
        <w:gridCol w:w="1418"/>
      </w:tblGrid>
      <w:tr w:rsidR="00CB5B91" w:rsidTr="00F533AC">
        <w:trPr>
          <w:trHeight w:val="300"/>
        </w:trPr>
        <w:tc>
          <w:tcPr>
            <w:tcW w:w="2977" w:type="dxa"/>
            <w:tcBorders>
              <w:top w:val="nil"/>
              <w:left w:val="nil"/>
              <w:bottom w:val="nil"/>
              <w:right w:val="nil"/>
            </w:tcBorders>
            <w:shd w:val="clear" w:color="auto" w:fill="auto"/>
            <w:noWrap/>
            <w:vAlign w:val="bottom"/>
            <w:hideMark/>
          </w:tcPr>
          <w:p w:rsidR="00F533AC" w:rsidRPr="00354B3D" w:rsidRDefault="00057DFB" w:rsidP="00F533AC"/>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2017/18 Revised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2018/19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2019/20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2020/21</w:t>
            </w:r>
          </w:p>
        </w:tc>
      </w:tr>
      <w:tr w:rsidR="00CB5B91" w:rsidTr="00F533AC">
        <w:trPr>
          <w:trHeight w:val="300"/>
        </w:trPr>
        <w:tc>
          <w:tcPr>
            <w:tcW w:w="2977" w:type="dxa"/>
            <w:tcBorders>
              <w:top w:val="nil"/>
              <w:left w:val="nil"/>
              <w:bottom w:val="nil"/>
              <w:right w:val="nil"/>
            </w:tcBorders>
            <w:shd w:val="clear" w:color="auto" w:fill="auto"/>
            <w:noWrap/>
            <w:vAlign w:val="bottom"/>
            <w:hideMark/>
          </w:tcPr>
          <w:p w:rsidR="00F533AC" w:rsidRPr="00354B3D" w:rsidRDefault="00057DFB" w:rsidP="00F533AC">
            <w:pPr>
              <w:rPr>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£m</w:t>
            </w:r>
          </w:p>
        </w:tc>
        <w:tc>
          <w:tcPr>
            <w:tcW w:w="1560"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£m</w:t>
            </w:r>
          </w:p>
        </w:tc>
      </w:tr>
      <w:tr w:rsidR="00CB5B91" w:rsidTr="00F533AC">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Borrowing</w:t>
            </w:r>
          </w:p>
        </w:tc>
        <w:tc>
          <w:tcPr>
            <w:tcW w:w="1559"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1,150</w:t>
            </w:r>
          </w:p>
        </w:tc>
        <w:tc>
          <w:tcPr>
            <w:tcW w:w="1560"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1,220</w:t>
            </w:r>
          </w:p>
        </w:tc>
        <w:tc>
          <w:tcPr>
            <w:tcW w:w="141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1,220</w:t>
            </w:r>
          </w:p>
        </w:tc>
        <w:tc>
          <w:tcPr>
            <w:tcW w:w="1418"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1,200</w:t>
            </w:r>
          </w:p>
        </w:tc>
      </w:tr>
      <w:tr w:rsidR="00CB5B91" w:rsidTr="00F533AC">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Other long term liabilities</w:t>
            </w:r>
          </w:p>
        </w:tc>
        <w:tc>
          <w:tcPr>
            <w:tcW w:w="1559"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185</w:t>
            </w:r>
          </w:p>
        </w:tc>
        <w:tc>
          <w:tcPr>
            <w:tcW w:w="1560"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185</w:t>
            </w:r>
          </w:p>
        </w:tc>
        <w:tc>
          <w:tcPr>
            <w:tcW w:w="141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185</w:t>
            </w:r>
          </w:p>
        </w:tc>
        <w:tc>
          <w:tcPr>
            <w:tcW w:w="1418"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185</w:t>
            </w:r>
          </w:p>
        </w:tc>
      </w:tr>
      <w:tr w:rsidR="00CB5B91" w:rsidTr="00F533AC">
        <w:trPr>
          <w:trHeight w:val="300"/>
        </w:trPr>
        <w:tc>
          <w:tcPr>
            <w:tcW w:w="297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rPr>
                <w:color w:val="000000"/>
              </w:rPr>
            </w:pPr>
            <w:r w:rsidRPr="00354B3D">
              <w:rPr>
                <w:color w:val="000000"/>
              </w:rPr>
              <w:t>TOTAL</w:t>
            </w:r>
          </w:p>
        </w:tc>
        <w:tc>
          <w:tcPr>
            <w:tcW w:w="1559" w:type="dxa"/>
            <w:tcBorders>
              <w:top w:val="nil"/>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jc w:val="right"/>
              <w:rPr>
                <w:color w:val="000000"/>
              </w:rPr>
            </w:pPr>
            <w:r w:rsidRPr="00354B3D">
              <w:rPr>
                <w:color w:val="000000"/>
              </w:rPr>
              <w:t>1,335</w:t>
            </w:r>
          </w:p>
        </w:tc>
        <w:tc>
          <w:tcPr>
            <w:tcW w:w="1560" w:type="dxa"/>
            <w:tcBorders>
              <w:top w:val="nil"/>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jc w:val="right"/>
              <w:rPr>
                <w:color w:val="000000"/>
              </w:rPr>
            </w:pPr>
            <w:r w:rsidRPr="00354B3D">
              <w:rPr>
                <w:color w:val="000000"/>
              </w:rPr>
              <w:t>1,405</w:t>
            </w:r>
          </w:p>
        </w:tc>
        <w:tc>
          <w:tcPr>
            <w:tcW w:w="1417" w:type="dxa"/>
            <w:tcBorders>
              <w:top w:val="nil"/>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jc w:val="right"/>
              <w:rPr>
                <w:color w:val="000000"/>
              </w:rPr>
            </w:pPr>
            <w:r w:rsidRPr="00354B3D">
              <w:rPr>
                <w:color w:val="000000"/>
              </w:rPr>
              <w:t>1,405</w:t>
            </w:r>
          </w:p>
        </w:tc>
        <w:tc>
          <w:tcPr>
            <w:tcW w:w="1418" w:type="dxa"/>
            <w:tcBorders>
              <w:top w:val="nil"/>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jc w:val="right"/>
              <w:rPr>
                <w:color w:val="000000"/>
              </w:rPr>
            </w:pPr>
            <w:r w:rsidRPr="00354B3D">
              <w:rPr>
                <w:color w:val="000000"/>
              </w:rPr>
              <w:t>1,385</w:t>
            </w:r>
          </w:p>
        </w:tc>
      </w:tr>
    </w:tbl>
    <w:p w:rsidR="00F533AC" w:rsidRPr="005A1A62" w:rsidRDefault="00057DFB" w:rsidP="00F533AC">
      <w:pPr>
        <w:jc w:val="both"/>
      </w:pPr>
    </w:p>
    <w:p w:rsidR="00F533AC" w:rsidRPr="005A1A62" w:rsidRDefault="00750627" w:rsidP="00F533AC">
      <w:pPr>
        <w:spacing w:after="240"/>
        <w:jc w:val="both"/>
      </w:pPr>
      <w:r w:rsidRPr="005A1A62">
        <w:lastRenderedPageBreak/>
        <w:t xml:space="preserve">The </w:t>
      </w:r>
      <w:r>
        <w:t>'</w:t>
      </w:r>
      <w:r w:rsidRPr="005A1A62">
        <w:t xml:space="preserve">operational </w:t>
      </w:r>
      <w:r>
        <w:t>limit'</w:t>
      </w:r>
      <w:r w:rsidRPr="005A1A62">
        <w:t xml:space="preserve"> for external debt is based on the same estimates as the authorised limit.  However, although it reflects a prudent estimate of debt, there is no provision for unusual cash flow movements.  In effect, it represents the estimated maximum external debt arising as a consequence of the </w:t>
      </w:r>
      <w:r>
        <w:t>council</w:t>
      </w:r>
      <w:r w:rsidRPr="005A1A62">
        <w:t xml:space="preserve">'s current plans.  As required under the Code, this limit will be carefully monitored during the year.  The proposed operational </w:t>
      </w:r>
      <w:r>
        <w:t>limits</w:t>
      </w:r>
      <w:r w:rsidRPr="005A1A62">
        <w:t xml:space="preserve"> for external debt </w:t>
      </w:r>
      <w:r>
        <w:t>are</w:t>
      </w:r>
      <w:r w:rsidRPr="005A1A62">
        <w:t>:</w:t>
      </w:r>
    </w:p>
    <w:tbl>
      <w:tblPr>
        <w:tblW w:w="8936" w:type="dxa"/>
        <w:tblInd w:w="-5" w:type="dxa"/>
        <w:tblLayout w:type="fixed"/>
        <w:tblLook w:val="0000" w:firstRow="0" w:lastRow="0" w:firstColumn="0" w:lastColumn="0" w:noHBand="0" w:noVBand="0"/>
      </w:tblPr>
      <w:tblGrid>
        <w:gridCol w:w="2977"/>
        <w:gridCol w:w="1564"/>
        <w:gridCol w:w="1560"/>
        <w:gridCol w:w="1417"/>
        <w:gridCol w:w="1418"/>
      </w:tblGrid>
      <w:tr w:rsidR="00CB5B91" w:rsidTr="00F533AC">
        <w:trPr>
          <w:trHeight w:val="300"/>
        </w:trPr>
        <w:tc>
          <w:tcPr>
            <w:tcW w:w="2977" w:type="dxa"/>
            <w:tcBorders>
              <w:top w:val="nil"/>
              <w:left w:val="nil"/>
              <w:bottom w:val="nil"/>
              <w:right w:val="nil"/>
            </w:tcBorders>
            <w:shd w:val="clear" w:color="auto" w:fill="auto"/>
            <w:noWrap/>
            <w:vAlign w:val="bottom"/>
            <w:hideMark/>
          </w:tcPr>
          <w:p w:rsidR="00F533AC" w:rsidRPr="00354B3D" w:rsidRDefault="00057DFB" w:rsidP="00F533AC"/>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2017/18 Revised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2018/19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2019/20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2020/21</w:t>
            </w:r>
          </w:p>
        </w:tc>
      </w:tr>
      <w:tr w:rsidR="00CB5B91" w:rsidTr="00F533AC">
        <w:trPr>
          <w:trHeight w:val="300"/>
        </w:trPr>
        <w:tc>
          <w:tcPr>
            <w:tcW w:w="2977" w:type="dxa"/>
            <w:tcBorders>
              <w:top w:val="nil"/>
              <w:left w:val="nil"/>
              <w:bottom w:val="nil"/>
              <w:right w:val="nil"/>
            </w:tcBorders>
            <w:shd w:val="clear" w:color="auto" w:fill="auto"/>
            <w:noWrap/>
            <w:vAlign w:val="bottom"/>
            <w:hideMark/>
          </w:tcPr>
          <w:p w:rsidR="00F533AC" w:rsidRPr="00354B3D" w:rsidRDefault="00057DFB" w:rsidP="00F533AC">
            <w:pPr>
              <w:rPr>
                <w:color w:val="000000"/>
              </w:rPr>
            </w:pP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£m</w:t>
            </w:r>
          </w:p>
        </w:tc>
        <w:tc>
          <w:tcPr>
            <w:tcW w:w="1560"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£m</w:t>
            </w:r>
          </w:p>
        </w:tc>
      </w:tr>
      <w:tr w:rsidR="00CB5B91" w:rsidTr="00F533AC">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Borrowing</w:t>
            </w:r>
          </w:p>
        </w:tc>
        <w:tc>
          <w:tcPr>
            <w:tcW w:w="1564"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1,070</w:t>
            </w:r>
          </w:p>
        </w:tc>
        <w:tc>
          <w:tcPr>
            <w:tcW w:w="1560"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1,115</w:t>
            </w:r>
          </w:p>
        </w:tc>
        <w:tc>
          <w:tcPr>
            <w:tcW w:w="141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1,125</w:t>
            </w:r>
          </w:p>
        </w:tc>
        <w:tc>
          <w:tcPr>
            <w:tcW w:w="1418"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1,095</w:t>
            </w:r>
          </w:p>
        </w:tc>
      </w:tr>
      <w:tr w:rsidR="00CB5B91" w:rsidTr="00F533AC">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Other long term liabilities</w:t>
            </w:r>
          </w:p>
        </w:tc>
        <w:tc>
          <w:tcPr>
            <w:tcW w:w="1564"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160</w:t>
            </w:r>
          </w:p>
        </w:tc>
        <w:tc>
          <w:tcPr>
            <w:tcW w:w="1560"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160</w:t>
            </w:r>
          </w:p>
        </w:tc>
        <w:tc>
          <w:tcPr>
            <w:tcW w:w="141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160</w:t>
            </w:r>
          </w:p>
        </w:tc>
        <w:tc>
          <w:tcPr>
            <w:tcW w:w="1418"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160</w:t>
            </w:r>
          </w:p>
        </w:tc>
      </w:tr>
      <w:tr w:rsidR="00CB5B91" w:rsidTr="00F533AC">
        <w:trPr>
          <w:trHeight w:val="300"/>
        </w:trPr>
        <w:tc>
          <w:tcPr>
            <w:tcW w:w="297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rPr>
                <w:color w:val="000000"/>
              </w:rPr>
            </w:pPr>
            <w:r w:rsidRPr="00354B3D">
              <w:rPr>
                <w:color w:val="000000"/>
              </w:rPr>
              <w:t>TOTAL</w:t>
            </w:r>
          </w:p>
        </w:tc>
        <w:tc>
          <w:tcPr>
            <w:tcW w:w="1564" w:type="dxa"/>
            <w:tcBorders>
              <w:top w:val="nil"/>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jc w:val="right"/>
              <w:rPr>
                <w:color w:val="000000"/>
              </w:rPr>
            </w:pPr>
            <w:r w:rsidRPr="00354B3D">
              <w:rPr>
                <w:color w:val="000000"/>
              </w:rPr>
              <w:t>1,</w:t>
            </w:r>
            <w:r>
              <w:rPr>
                <w:color w:val="000000"/>
              </w:rPr>
              <w:t>2</w:t>
            </w:r>
            <w:r w:rsidRPr="00354B3D">
              <w:rPr>
                <w:color w:val="000000"/>
              </w:rPr>
              <w:t>35</w:t>
            </w:r>
          </w:p>
        </w:tc>
        <w:tc>
          <w:tcPr>
            <w:tcW w:w="1560" w:type="dxa"/>
            <w:tcBorders>
              <w:top w:val="nil"/>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jc w:val="right"/>
              <w:rPr>
                <w:color w:val="000000"/>
              </w:rPr>
            </w:pPr>
            <w:r w:rsidRPr="00354B3D">
              <w:rPr>
                <w:color w:val="000000"/>
              </w:rPr>
              <w:t>1,275</w:t>
            </w:r>
          </w:p>
        </w:tc>
        <w:tc>
          <w:tcPr>
            <w:tcW w:w="1417" w:type="dxa"/>
            <w:tcBorders>
              <w:top w:val="nil"/>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jc w:val="right"/>
              <w:rPr>
                <w:color w:val="000000"/>
              </w:rPr>
            </w:pPr>
            <w:r w:rsidRPr="00354B3D">
              <w:rPr>
                <w:color w:val="000000"/>
              </w:rPr>
              <w:t>1,285</w:t>
            </w:r>
          </w:p>
        </w:tc>
        <w:tc>
          <w:tcPr>
            <w:tcW w:w="1418" w:type="dxa"/>
            <w:tcBorders>
              <w:top w:val="nil"/>
              <w:left w:val="nil"/>
              <w:bottom w:val="single" w:sz="4" w:space="0" w:color="auto"/>
              <w:right w:val="single" w:sz="4" w:space="0" w:color="auto"/>
            </w:tcBorders>
            <w:shd w:val="clear" w:color="auto" w:fill="DBE5F1" w:themeFill="accent1" w:themeFillTint="33"/>
            <w:noWrap/>
            <w:vAlign w:val="bottom"/>
            <w:hideMark/>
          </w:tcPr>
          <w:p w:rsidR="00F533AC" w:rsidRPr="00354B3D" w:rsidRDefault="00750627" w:rsidP="00F533AC">
            <w:pPr>
              <w:jc w:val="right"/>
              <w:rPr>
                <w:color w:val="000000"/>
              </w:rPr>
            </w:pPr>
            <w:r w:rsidRPr="00354B3D">
              <w:rPr>
                <w:color w:val="000000"/>
              </w:rPr>
              <w:t>1,255</w:t>
            </w:r>
          </w:p>
        </w:tc>
      </w:tr>
    </w:tbl>
    <w:p w:rsidR="00F533AC" w:rsidRDefault="00057DFB" w:rsidP="00F533AC">
      <w:pPr>
        <w:jc w:val="both"/>
      </w:pPr>
    </w:p>
    <w:p w:rsidR="00F533AC" w:rsidRDefault="00750627" w:rsidP="00F533AC">
      <w:pPr>
        <w:jc w:val="both"/>
      </w:pPr>
      <w:r w:rsidRPr="00F32DDB">
        <w:t xml:space="preserve">The debt figures include transferred debt which is managed by the </w:t>
      </w:r>
      <w:r>
        <w:t>council</w:t>
      </w:r>
      <w:r w:rsidRPr="00F32DDB">
        <w:t xml:space="preserve"> on behalf of other authorities. The transferred debt included within the debt indicators is estimated </w:t>
      </w:r>
      <w:r>
        <w:t xml:space="preserve">as at the end of each year </w:t>
      </w:r>
      <w:r w:rsidRPr="00F32DDB">
        <w:t>to be:</w:t>
      </w:r>
    </w:p>
    <w:p w:rsidR="00F533AC" w:rsidRDefault="00057DFB" w:rsidP="00F533A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559"/>
      </w:tblGrid>
      <w:tr w:rsidR="00CB5B91" w:rsidTr="00F533AC">
        <w:trPr>
          <w:trHeight w:val="300"/>
        </w:trPr>
        <w:tc>
          <w:tcPr>
            <w:tcW w:w="1413" w:type="dxa"/>
            <w:noWrap/>
            <w:hideMark/>
          </w:tcPr>
          <w:p w:rsidR="00F533AC" w:rsidRPr="00ED7944" w:rsidRDefault="00750627" w:rsidP="00F533AC">
            <w:r w:rsidRPr="00ED7944">
              <w:t>2017/18</w:t>
            </w:r>
          </w:p>
        </w:tc>
        <w:tc>
          <w:tcPr>
            <w:tcW w:w="1559" w:type="dxa"/>
            <w:noWrap/>
            <w:hideMark/>
          </w:tcPr>
          <w:p w:rsidR="00F533AC" w:rsidRPr="00ED7944" w:rsidRDefault="00750627" w:rsidP="00F533AC">
            <w:pPr>
              <w:jc w:val="both"/>
            </w:pPr>
            <w:r>
              <w:t>£</w:t>
            </w:r>
            <w:r w:rsidRPr="00ED7944">
              <w:t>15.942</w:t>
            </w:r>
            <w:r>
              <w:t>m</w:t>
            </w:r>
          </w:p>
        </w:tc>
      </w:tr>
      <w:tr w:rsidR="00CB5B91" w:rsidTr="00F533AC">
        <w:trPr>
          <w:trHeight w:val="300"/>
        </w:trPr>
        <w:tc>
          <w:tcPr>
            <w:tcW w:w="1413" w:type="dxa"/>
            <w:noWrap/>
            <w:hideMark/>
          </w:tcPr>
          <w:p w:rsidR="00F533AC" w:rsidRPr="00ED7944" w:rsidRDefault="00750627" w:rsidP="00F533AC">
            <w:r w:rsidRPr="00ED7944">
              <w:t>2018/19</w:t>
            </w:r>
          </w:p>
        </w:tc>
        <w:tc>
          <w:tcPr>
            <w:tcW w:w="1559" w:type="dxa"/>
            <w:noWrap/>
            <w:hideMark/>
          </w:tcPr>
          <w:p w:rsidR="00F533AC" w:rsidRPr="00ED7944" w:rsidRDefault="00750627" w:rsidP="00F533AC">
            <w:pPr>
              <w:jc w:val="both"/>
            </w:pPr>
            <w:r>
              <w:t>£</w:t>
            </w:r>
            <w:r w:rsidRPr="00ED7944">
              <w:t>15.079</w:t>
            </w:r>
            <w:r>
              <w:t>m</w:t>
            </w:r>
          </w:p>
        </w:tc>
      </w:tr>
      <w:tr w:rsidR="00CB5B91" w:rsidTr="00F533AC">
        <w:trPr>
          <w:trHeight w:val="300"/>
        </w:trPr>
        <w:tc>
          <w:tcPr>
            <w:tcW w:w="1413" w:type="dxa"/>
            <w:noWrap/>
            <w:hideMark/>
          </w:tcPr>
          <w:p w:rsidR="00F533AC" w:rsidRPr="00ED7944" w:rsidRDefault="00750627" w:rsidP="00F533AC">
            <w:r w:rsidRPr="00ED7944">
              <w:t>2019/20</w:t>
            </w:r>
          </w:p>
        </w:tc>
        <w:tc>
          <w:tcPr>
            <w:tcW w:w="1559" w:type="dxa"/>
            <w:noWrap/>
            <w:hideMark/>
          </w:tcPr>
          <w:p w:rsidR="00F533AC" w:rsidRPr="00ED7944" w:rsidRDefault="00750627" w:rsidP="00F533AC">
            <w:pPr>
              <w:jc w:val="both"/>
            </w:pPr>
            <w:r>
              <w:t>£</w:t>
            </w:r>
            <w:r w:rsidRPr="00ED7944">
              <w:t>14.239</w:t>
            </w:r>
            <w:r>
              <w:t>m</w:t>
            </w:r>
          </w:p>
        </w:tc>
      </w:tr>
      <w:tr w:rsidR="00CB5B91" w:rsidTr="00F533AC">
        <w:trPr>
          <w:trHeight w:val="300"/>
        </w:trPr>
        <w:tc>
          <w:tcPr>
            <w:tcW w:w="1413" w:type="dxa"/>
            <w:noWrap/>
            <w:hideMark/>
          </w:tcPr>
          <w:p w:rsidR="00F533AC" w:rsidRPr="00ED7944" w:rsidRDefault="00750627" w:rsidP="00F533AC">
            <w:r w:rsidRPr="00ED7944">
              <w:t>2020/21</w:t>
            </w:r>
          </w:p>
        </w:tc>
        <w:tc>
          <w:tcPr>
            <w:tcW w:w="1559" w:type="dxa"/>
            <w:noWrap/>
            <w:hideMark/>
          </w:tcPr>
          <w:p w:rsidR="00F533AC" w:rsidRPr="00ED7944" w:rsidRDefault="00750627" w:rsidP="00F533AC">
            <w:pPr>
              <w:jc w:val="both"/>
            </w:pPr>
            <w:r>
              <w:t>£</w:t>
            </w:r>
            <w:r w:rsidRPr="00ED7944">
              <w:t>13.661</w:t>
            </w:r>
            <w:r>
              <w:t>m</w:t>
            </w:r>
          </w:p>
        </w:tc>
      </w:tr>
    </w:tbl>
    <w:p w:rsidR="00F533AC" w:rsidRDefault="00057DFB" w:rsidP="00F533AC">
      <w:pPr>
        <w:rPr>
          <w:b/>
        </w:rPr>
      </w:pPr>
    </w:p>
    <w:p w:rsidR="00F533AC" w:rsidRPr="00D52D02" w:rsidRDefault="00750627" w:rsidP="00F533AC">
      <w:pPr>
        <w:rPr>
          <w:b/>
        </w:rPr>
      </w:pPr>
      <w:r w:rsidRPr="00D52D02">
        <w:rPr>
          <w:b/>
          <w:u w:val="single"/>
        </w:rPr>
        <w:t>Gross Debt and Capital Financing Requirement</w:t>
      </w:r>
    </w:p>
    <w:p w:rsidR="00F533AC" w:rsidRDefault="00750627" w:rsidP="00F533AC">
      <w:pPr>
        <w:pStyle w:val="Heading3"/>
        <w:spacing w:before="0" w:after="0"/>
        <w:jc w:val="both"/>
      </w:pPr>
      <w:r w:rsidRPr="00C660FA">
        <w:rPr>
          <w:b w:val="0"/>
        </w:rPr>
        <w:t xml:space="preserve">As a measure of prudence and to ensure that over the medium term debt is only used for a capital purpose, the prudential code requires a comparison of gross debt and the capital financing requirement. </w:t>
      </w:r>
      <w:r>
        <w:rPr>
          <w:b w:val="0"/>
        </w:rPr>
        <w:t>The following table shows the comparison for the council:</w:t>
      </w:r>
    </w:p>
    <w:p w:rsidR="00F533AC" w:rsidRDefault="00057DFB" w:rsidP="00F533AC">
      <w:pPr>
        <w:pStyle w:val="Heading3"/>
        <w:spacing w:before="0" w:after="0"/>
        <w:jc w:val="both"/>
      </w:pPr>
    </w:p>
    <w:tbl>
      <w:tblPr>
        <w:tblW w:w="8931" w:type="dxa"/>
        <w:tblLook w:val="04A0" w:firstRow="1" w:lastRow="0" w:firstColumn="1" w:lastColumn="0" w:noHBand="0" w:noVBand="1"/>
      </w:tblPr>
      <w:tblGrid>
        <w:gridCol w:w="3261"/>
        <w:gridCol w:w="1417"/>
        <w:gridCol w:w="1418"/>
        <w:gridCol w:w="1417"/>
        <w:gridCol w:w="1418"/>
      </w:tblGrid>
      <w:tr w:rsidR="00CB5B91" w:rsidTr="00F533AC">
        <w:trPr>
          <w:trHeight w:val="300"/>
        </w:trPr>
        <w:tc>
          <w:tcPr>
            <w:tcW w:w="3261" w:type="dxa"/>
            <w:tcBorders>
              <w:top w:val="nil"/>
              <w:left w:val="nil"/>
              <w:bottom w:val="nil"/>
              <w:right w:val="nil"/>
            </w:tcBorders>
            <w:shd w:val="clear" w:color="auto" w:fill="auto"/>
            <w:noWrap/>
            <w:vAlign w:val="bottom"/>
          </w:tcPr>
          <w:p w:rsidR="00F533AC" w:rsidRPr="00315D4D" w:rsidRDefault="00057DFB" w:rsidP="00F533AC"/>
        </w:tc>
        <w:tc>
          <w:tcPr>
            <w:tcW w:w="56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533AC" w:rsidRPr="00315D4D" w:rsidRDefault="00750627" w:rsidP="00F533AC">
            <w:pPr>
              <w:jc w:val="center"/>
              <w:rPr>
                <w:color w:val="000000"/>
              </w:rPr>
            </w:pPr>
            <w:r>
              <w:rPr>
                <w:color w:val="000000"/>
              </w:rPr>
              <w:t>As at 31 March</w:t>
            </w:r>
          </w:p>
        </w:tc>
      </w:tr>
      <w:tr w:rsidR="00CB5B91" w:rsidTr="00F533AC">
        <w:trPr>
          <w:trHeight w:val="300"/>
        </w:trPr>
        <w:tc>
          <w:tcPr>
            <w:tcW w:w="3261" w:type="dxa"/>
            <w:tcBorders>
              <w:top w:val="nil"/>
              <w:left w:val="nil"/>
              <w:bottom w:val="nil"/>
              <w:right w:val="nil"/>
            </w:tcBorders>
            <w:shd w:val="clear" w:color="auto" w:fill="auto"/>
            <w:noWrap/>
            <w:vAlign w:val="bottom"/>
            <w:hideMark/>
          </w:tcPr>
          <w:p w:rsidR="00F533AC" w:rsidRPr="00354B3D" w:rsidRDefault="00057DFB" w:rsidP="00F533AC"/>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Pr>
                <w:color w:val="000000"/>
              </w:rPr>
              <w:t>2018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Pr>
                <w:color w:val="000000"/>
              </w:rPr>
              <w:t>2019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Pr>
                <w:color w:val="000000"/>
              </w:rPr>
              <w:t>2020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Pr>
                <w:color w:val="000000"/>
              </w:rPr>
              <w:t>2021</w:t>
            </w:r>
          </w:p>
        </w:tc>
      </w:tr>
      <w:tr w:rsidR="00CB5B91" w:rsidTr="00F533AC">
        <w:trPr>
          <w:trHeight w:val="300"/>
        </w:trPr>
        <w:tc>
          <w:tcPr>
            <w:tcW w:w="3261" w:type="dxa"/>
            <w:tcBorders>
              <w:top w:val="nil"/>
              <w:left w:val="nil"/>
              <w:bottom w:val="nil"/>
              <w:right w:val="nil"/>
            </w:tcBorders>
            <w:shd w:val="clear" w:color="auto" w:fill="auto"/>
            <w:noWrap/>
            <w:vAlign w:val="bottom"/>
            <w:hideMark/>
          </w:tcPr>
          <w:p w:rsidR="00F533AC" w:rsidRPr="00354B3D" w:rsidRDefault="00057DFB" w:rsidP="00F533AC">
            <w:pPr>
              <w:jc w:val="right"/>
              <w:rPr>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£m</w:t>
            </w:r>
          </w:p>
        </w:tc>
      </w:tr>
      <w:tr w:rsidR="00CB5B91" w:rsidTr="00F533AC">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Borrowing CFR</w:t>
            </w:r>
          </w:p>
        </w:tc>
        <w:tc>
          <w:tcPr>
            <w:tcW w:w="141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902.99</w:t>
            </w:r>
            <w:r>
              <w:rPr>
                <w:color w:val="000000"/>
              </w:rPr>
              <w:t>8</w:t>
            </w:r>
          </w:p>
        </w:tc>
        <w:tc>
          <w:tcPr>
            <w:tcW w:w="1418"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953.17</w:t>
            </w:r>
            <w:r>
              <w:rPr>
                <w:color w:val="000000"/>
              </w:rPr>
              <w:t>5</w:t>
            </w:r>
          </w:p>
        </w:tc>
        <w:tc>
          <w:tcPr>
            <w:tcW w:w="141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965.91</w:t>
            </w:r>
            <w:r>
              <w:rPr>
                <w:color w:val="000000"/>
              </w:rPr>
              <w:t>7</w:t>
            </w:r>
          </w:p>
        </w:tc>
        <w:tc>
          <w:tcPr>
            <w:tcW w:w="1418"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941.8</w:t>
            </w:r>
            <w:r>
              <w:rPr>
                <w:color w:val="000000"/>
              </w:rPr>
              <w:t>5</w:t>
            </w:r>
            <w:r w:rsidRPr="00354B3D">
              <w:rPr>
                <w:color w:val="000000"/>
              </w:rPr>
              <w:t>1</w:t>
            </w:r>
          </w:p>
        </w:tc>
      </w:tr>
      <w:tr w:rsidR="00CB5B91" w:rsidTr="00F533AC">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Estimated total borrowing</w:t>
            </w:r>
          </w:p>
        </w:tc>
        <w:tc>
          <w:tcPr>
            <w:tcW w:w="141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w:t>
            </w:r>
            <w:r>
              <w:rPr>
                <w:color w:val="000000"/>
              </w:rPr>
              <w:t>050.510</w:t>
            </w:r>
          </w:p>
        </w:tc>
        <w:tc>
          <w:tcPr>
            <w:tcW w:w="1418"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w:t>
            </w:r>
            <w:r>
              <w:rPr>
                <w:color w:val="000000"/>
              </w:rPr>
              <w:t>095.576</w:t>
            </w:r>
          </w:p>
        </w:tc>
        <w:tc>
          <w:tcPr>
            <w:tcW w:w="1417"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w:t>
            </w:r>
            <w:r>
              <w:rPr>
                <w:color w:val="000000"/>
              </w:rPr>
              <w:t>103.192</w:t>
            </w:r>
          </w:p>
        </w:tc>
        <w:tc>
          <w:tcPr>
            <w:tcW w:w="1418"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1,0</w:t>
            </w:r>
            <w:r>
              <w:rPr>
                <w:color w:val="000000"/>
              </w:rPr>
              <w:t>7</w:t>
            </w:r>
            <w:r w:rsidRPr="00354B3D">
              <w:rPr>
                <w:color w:val="000000"/>
              </w:rPr>
              <w:t>4.</w:t>
            </w:r>
            <w:r>
              <w:rPr>
                <w:color w:val="000000"/>
              </w:rPr>
              <w:t>311</w:t>
            </w:r>
          </w:p>
        </w:tc>
      </w:tr>
      <w:tr w:rsidR="00CB5B91" w:rsidTr="00F533AC">
        <w:trPr>
          <w:trHeight w:val="300"/>
        </w:trPr>
        <w:tc>
          <w:tcPr>
            <w:tcW w:w="8931" w:type="dxa"/>
            <w:gridSpan w:val="5"/>
            <w:tcBorders>
              <w:top w:val="nil"/>
              <w:left w:val="nil"/>
              <w:right w:val="nil"/>
            </w:tcBorders>
            <w:shd w:val="clear" w:color="auto" w:fill="auto"/>
            <w:noWrap/>
            <w:vAlign w:val="bottom"/>
            <w:hideMark/>
          </w:tcPr>
          <w:p w:rsidR="00F533AC" w:rsidRPr="00354B3D" w:rsidRDefault="00057DFB" w:rsidP="00F533AC">
            <w:pPr>
              <w:rPr>
                <w:color w:val="000000"/>
              </w:rPr>
            </w:pPr>
          </w:p>
          <w:p w:rsidR="00F533AC" w:rsidRPr="00354B3D" w:rsidRDefault="00750627" w:rsidP="00F533AC">
            <w:r w:rsidRPr="00354B3D">
              <w:rPr>
                <w:color w:val="000000"/>
              </w:rPr>
              <w:t>Borrowing above CFR Comprising:</w:t>
            </w:r>
          </w:p>
        </w:tc>
      </w:tr>
      <w:tr w:rsidR="00CB5B91" w:rsidTr="00F533AC">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Premiums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38.458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35.204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31.951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28.785</w:t>
            </w:r>
          </w:p>
        </w:tc>
      </w:tr>
      <w:tr w:rsidR="00CB5B91" w:rsidTr="00F533AC">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Shared Investment Scheme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60.815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60.815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60.815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60.815</w:t>
            </w:r>
          </w:p>
        </w:tc>
      </w:tr>
      <w:tr w:rsidR="00CB5B91" w:rsidTr="00F533AC">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33AC" w:rsidRPr="00354B3D" w:rsidRDefault="00750627" w:rsidP="00F533AC">
            <w:pPr>
              <w:rPr>
                <w:color w:val="000000"/>
              </w:rPr>
            </w:pPr>
            <w:r>
              <w:rPr>
                <w:color w:val="000000"/>
              </w:rPr>
              <w:t>Borrowing relating to other authorities</w:t>
            </w:r>
            <w:r w:rsidRPr="00354B3D">
              <w:rPr>
                <w:color w:val="000000"/>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533AC" w:rsidRPr="00354B3D" w:rsidRDefault="00750627" w:rsidP="00F533AC">
            <w:pPr>
              <w:jc w:val="right"/>
              <w:rPr>
                <w:color w:val="000000"/>
              </w:rPr>
            </w:pPr>
            <w:r w:rsidRPr="00354B3D">
              <w:rPr>
                <w:color w:val="000000"/>
              </w:rPr>
              <w:t>48.2</w:t>
            </w:r>
            <w:r>
              <w:rPr>
                <w:color w:val="000000"/>
              </w:rPr>
              <w:t>39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533AC" w:rsidRPr="00354B3D" w:rsidRDefault="00750627" w:rsidP="00F533AC">
            <w:pPr>
              <w:jc w:val="right"/>
              <w:rPr>
                <w:color w:val="000000"/>
              </w:rPr>
            </w:pPr>
            <w:r w:rsidRPr="00354B3D">
              <w:rPr>
                <w:color w:val="000000"/>
              </w:rPr>
              <w:t>46.38</w:t>
            </w:r>
            <w:r>
              <w:rPr>
                <w:color w:val="000000"/>
              </w:rPr>
              <w:t>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533AC" w:rsidRPr="00354B3D" w:rsidRDefault="00750627" w:rsidP="00F533AC">
            <w:pPr>
              <w:jc w:val="right"/>
              <w:rPr>
                <w:color w:val="000000"/>
              </w:rPr>
            </w:pPr>
            <w:r w:rsidRPr="00354B3D">
              <w:rPr>
                <w:color w:val="000000"/>
              </w:rPr>
              <w:t>44.5</w:t>
            </w:r>
            <w:r>
              <w:rPr>
                <w:color w:val="000000"/>
              </w:rPr>
              <w:t>09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533AC" w:rsidRPr="00354B3D" w:rsidRDefault="00750627" w:rsidP="00F533AC">
            <w:pPr>
              <w:jc w:val="right"/>
              <w:rPr>
                <w:color w:val="000000"/>
              </w:rPr>
            </w:pPr>
            <w:r w:rsidRPr="00354B3D">
              <w:rPr>
                <w:color w:val="000000"/>
              </w:rPr>
              <w:t>42.86</w:t>
            </w:r>
            <w:r>
              <w:rPr>
                <w:color w:val="000000"/>
              </w:rPr>
              <w:t>0</w:t>
            </w:r>
          </w:p>
        </w:tc>
      </w:tr>
    </w:tbl>
    <w:p w:rsidR="00F533AC" w:rsidRDefault="00057DFB" w:rsidP="00F533AC"/>
    <w:p w:rsidR="00F533AC" w:rsidRPr="001143BB" w:rsidRDefault="00750627" w:rsidP="00F533AC">
      <w:pPr>
        <w:jc w:val="both"/>
        <w:rPr>
          <w:highlight w:val="yellow"/>
        </w:rPr>
      </w:pPr>
      <w:r w:rsidRPr="00C660FA">
        <w:t xml:space="preserve">The gross debt is higher than the capital financing requirement. This is because </w:t>
      </w:r>
      <w:r>
        <w:t xml:space="preserve">certain borrowing is included in the total borrowing but does not count against the CFR. These include the </w:t>
      </w:r>
      <w:r w:rsidRPr="00C660FA">
        <w:t xml:space="preserve">shared investment scheme </w:t>
      </w:r>
      <w:r>
        <w:t>and the transferred debt.</w:t>
      </w:r>
    </w:p>
    <w:p w:rsidR="00F533AC" w:rsidRDefault="00057DFB" w:rsidP="00F533AC">
      <w:pPr>
        <w:rPr>
          <w:highlight w:val="yellow"/>
        </w:rPr>
      </w:pPr>
    </w:p>
    <w:p w:rsidR="002D5BE1" w:rsidRDefault="00057DFB" w:rsidP="00F533AC">
      <w:pPr>
        <w:rPr>
          <w:highlight w:val="yellow"/>
        </w:rPr>
      </w:pPr>
    </w:p>
    <w:p w:rsidR="002D5BE1" w:rsidRDefault="00057DFB" w:rsidP="00F533AC">
      <w:pPr>
        <w:rPr>
          <w:highlight w:val="yellow"/>
        </w:rPr>
      </w:pPr>
    </w:p>
    <w:p w:rsidR="002D5BE1" w:rsidRPr="001143BB" w:rsidRDefault="00057DFB" w:rsidP="00F533AC">
      <w:pPr>
        <w:rPr>
          <w:highlight w:val="yellow"/>
        </w:rPr>
      </w:pPr>
    </w:p>
    <w:p w:rsidR="00F533AC" w:rsidRPr="00354B3D" w:rsidRDefault="00750627" w:rsidP="00F533AC">
      <w:pPr>
        <w:rPr>
          <w:b/>
          <w:u w:val="single"/>
        </w:rPr>
      </w:pPr>
      <w:r w:rsidRPr="00354B3D">
        <w:rPr>
          <w:b/>
          <w:u w:val="single"/>
        </w:rPr>
        <w:lastRenderedPageBreak/>
        <w:t>Treasury Management Indicators</w:t>
      </w:r>
    </w:p>
    <w:p w:rsidR="002D5BE1" w:rsidRDefault="00057DFB" w:rsidP="00F533AC">
      <w:pPr>
        <w:jc w:val="both"/>
      </w:pPr>
    </w:p>
    <w:p w:rsidR="00F533AC" w:rsidRPr="00354B3D" w:rsidRDefault="00750627" w:rsidP="00F533AC">
      <w:pPr>
        <w:jc w:val="both"/>
      </w:pPr>
      <w:r>
        <w:t>The indicators and limits relating to specific treasury management activities are set out as follows, with the 2017 information provided for reference.</w:t>
      </w:r>
    </w:p>
    <w:p w:rsidR="00F533AC" w:rsidRPr="009214FB" w:rsidRDefault="00057DFB" w:rsidP="00F533AC">
      <w:pPr>
        <w:rPr>
          <w:b/>
        </w:rPr>
      </w:pPr>
    </w:p>
    <w:p w:rsidR="00F533AC" w:rsidRPr="00E242D4" w:rsidRDefault="00750627" w:rsidP="00F533AC">
      <w:pPr>
        <w:pStyle w:val="ListParagraph"/>
        <w:spacing w:line="276" w:lineRule="auto"/>
        <w:ind w:left="0"/>
        <w:rPr>
          <w:b/>
          <w:i/>
          <w:color w:val="000000"/>
        </w:rPr>
      </w:pPr>
      <w:r w:rsidRPr="00E242D4">
        <w:rPr>
          <w:b/>
          <w:i/>
          <w:color w:val="000000"/>
        </w:rPr>
        <w:t>Interest rate exposure</w:t>
      </w:r>
    </w:p>
    <w:p w:rsidR="00F533AC" w:rsidRDefault="00750627" w:rsidP="00F533AC">
      <w:pPr>
        <w:pStyle w:val="ListParagraph"/>
        <w:spacing w:line="276" w:lineRule="auto"/>
        <w:ind w:left="0"/>
        <w:jc w:val="both"/>
      </w:pPr>
      <w:r w:rsidRPr="009E48A6">
        <w:rPr>
          <w:color w:val="000000"/>
        </w:rPr>
        <w:t xml:space="preserve">In order to control interest rate risk the </w:t>
      </w:r>
      <w:r>
        <w:rPr>
          <w:color w:val="000000"/>
        </w:rPr>
        <w:t>council</w:t>
      </w:r>
      <w:r w:rsidRPr="009E48A6">
        <w:rPr>
          <w:color w:val="000000"/>
        </w:rPr>
        <w:t xml:space="preserve"> measures its exposure to interest rate movements. These indicators place limits on the overall amount of risk the</w:t>
      </w:r>
      <w:r>
        <w:rPr>
          <w:color w:val="000000"/>
        </w:rPr>
        <w:t xml:space="preserve"> council</w:t>
      </w:r>
      <w:r w:rsidRPr="009E48A6">
        <w:rPr>
          <w:color w:val="000000"/>
        </w:rPr>
        <w:t xml:space="preserve"> is exposed to. </w:t>
      </w:r>
      <w:r>
        <w:t>The one year impact indicator calculates</w:t>
      </w:r>
      <w:r w:rsidRPr="00C63B7D">
        <w:t xml:space="preserve"> the theoretical impact on the revenue account of an</w:t>
      </w:r>
      <w:r>
        <w:t xml:space="preserve"> </w:t>
      </w:r>
      <w:r w:rsidRPr="00C63B7D">
        <w:t>immediate 1% rise in all interest rates over the course of one financial year.</w:t>
      </w:r>
    </w:p>
    <w:p w:rsidR="00F533AC" w:rsidRDefault="00057DFB" w:rsidP="00F533AC">
      <w:pPr>
        <w:pStyle w:val="ListParagraph"/>
        <w:spacing w:line="276" w:lineRule="auto"/>
        <w:ind w:left="0"/>
        <w:jc w:val="both"/>
      </w:pPr>
    </w:p>
    <w:tbl>
      <w:tblPr>
        <w:tblStyle w:val="TableGrid"/>
        <w:tblW w:w="9067" w:type="dxa"/>
        <w:tblLook w:val="04A0" w:firstRow="1" w:lastRow="0" w:firstColumn="1" w:lastColumn="0" w:noHBand="0" w:noVBand="1"/>
      </w:tblPr>
      <w:tblGrid>
        <w:gridCol w:w="5382"/>
        <w:gridCol w:w="1843"/>
        <w:gridCol w:w="1842"/>
      </w:tblGrid>
      <w:tr w:rsidR="00CB5B91" w:rsidTr="00F533AC">
        <w:tc>
          <w:tcPr>
            <w:tcW w:w="5382" w:type="dxa"/>
          </w:tcPr>
          <w:p w:rsidR="00F533AC" w:rsidRPr="004977DB" w:rsidRDefault="00057DFB" w:rsidP="00F533AC">
            <w:pPr>
              <w:rPr>
                <w:b/>
              </w:rPr>
            </w:pPr>
          </w:p>
        </w:tc>
        <w:tc>
          <w:tcPr>
            <w:tcW w:w="1843" w:type="dxa"/>
            <w:vAlign w:val="center"/>
          </w:tcPr>
          <w:p w:rsidR="00F533AC" w:rsidRPr="00354B3D" w:rsidRDefault="00750627" w:rsidP="00F533AC">
            <w:pPr>
              <w:jc w:val="center"/>
            </w:pPr>
            <w:r w:rsidRPr="00354B3D">
              <w:t>Upper Limit</w:t>
            </w:r>
          </w:p>
        </w:tc>
        <w:tc>
          <w:tcPr>
            <w:tcW w:w="1842" w:type="dxa"/>
            <w:vAlign w:val="center"/>
          </w:tcPr>
          <w:p w:rsidR="00F533AC" w:rsidRPr="00354B3D" w:rsidRDefault="00750627" w:rsidP="00F533AC">
            <w:pPr>
              <w:jc w:val="center"/>
            </w:pPr>
            <w:r w:rsidRPr="00354B3D">
              <w:t>2017</w:t>
            </w:r>
          </w:p>
        </w:tc>
      </w:tr>
      <w:tr w:rsidR="00CB5B91" w:rsidTr="00F533AC">
        <w:tc>
          <w:tcPr>
            <w:tcW w:w="5382" w:type="dxa"/>
          </w:tcPr>
          <w:p w:rsidR="00F533AC" w:rsidRDefault="00750627" w:rsidP="00F533AC">
            <w:r>
              <w:t>Net Interest Payable at Fixed Rates</w:t>
            </w:r>
          </w:p>
        </w:tc>
        <w:tc>
          <w:tcPr>
            <w:tcW w:w="1843" w:type="dxa"/>
            <w:vAlign w:val="center"/>
          </w:tcPr>
          <w:p w:rsidR="00F533AC" w:rsidRPr="00974DEC" w:rsidRDefault="00750627" w:rsidP="00F533AC">
            <w:pPr>
              <w:jc w:val="right"/>
            </w:pPr>
            <w:r>
              <w:t>£50.400m</w:t>
            </w:r>
          </w:p>
        </w:tc>
        <w:tc>
          <w:tcPr>
            <w:tcW w:w="1842" w:type="dxa"/>
            <w:vAlign w:val="center"/>
          </w:tcPr>
          <w:p w:rsidR="00F533AC" w:rsidRPr="00974DEC" w:rsidRDefault="00750627" w:rsidP="00F533AC">
            <w:pPr>
              <w:jc w:val="right"/>
            </w:pPr>
            <w:r>
              <w:t>£9.300m</w:t>
            </w:r>
          </w:p>
        </w:tc>
      </w:tr>
      <w:tr w:rsidR="00CB5B91" w:rsidTr="00F533AC">
        <w:tc>
          <w:tcPr>
            <w:tcW w:w="5382" w:type="dxa"/>
          </w:tcPr>
          <w:p w:rsidR="00F533AC" w:rsidRDefault="00750627" w:rsidP="00F533AC">
            <w:r>
              <w:t>Net Interest Payable at Variable Rates</w:t>
            </w:r>
          </w:p>
        </w:tc>
        <w:tc>
          <w:tcPr>
            <w:tcW w:w="1843" w:type="dxa"/>
            <w:vAlign w:val="center"/>
          </w:tcPr>
          <w:p w:rsidR="00F533AC" w:rsidRPr="00974DEC" w:rsidRDefault="00750627" w:rsidP="00F533AC">
            <w:pPr>
              <w:jc w:val="right"/>
            </w:pPr>
            <w:r>
              <w:t>£5.000m</w:t>
            </w:r>
          </w:p>
        </w:tc>
        <w:tc>
          <w:tcPr>
            <w:tcW w:w="1842" w:type="dxa"/>
            <w:vAlign w:val="center"/>
          </w:tcPr>
          <w:p w:rsidR="00F533AC" w:rsidRPr="00974DEC" w:rsidRDefault="00750627" w:rsidP="00F533AC">
            <w:pPr>
              <w:jc w:val="right"/>
            </w:pPr>
            <w:r>
              <w:t>£4.300m</w:t>
            </w:r>
          </w:p>
        </w:tc>
      </w:tr>
      <w:tr w:rsidR="00CB5B91" w:rsidTr="00F533AC">
        <w:tc>
          <w:tcPr>
            <w:tcW w:w="5382" w:type="dxa"/>
          </w:tcPr>
          <w:p w:rsidR="00F533AC" w:rsidRDefault="00750627" w:rsidP="00F533AC">
            <w:r>
              <w:t>One year impact of a 1% rise in rates</w:t>
            </w:r>
          </w:p>
        </w:tc>
        <w:tc>
          <w:tcPr>
            <w:tcW w:w="1843" w:type="dxa"/>
            <w:vAlign w:val="center"/>
          </w:tcPr>
          <w:p w:rsidR="00F533AC" w:rsidRPr="00974DEC" w:rsidRDefault="00750627" w:rsidP="00F533AC">
            <w:pPr>
              <w:jc w:val="right"/>
            </w:pPr>
            <w:r>
              <w:t>£10.000m</w:t>
            </w:r>
          </w:p>
        </w:tc>
        <w:tc>
          <w:tcPr>
            <w:tcW w:w="1842" w:type="dxa"/>
            <w:vAlign w:val="center"/>
          </w:tcPr>
          <w:p w:rsidR="00F533AC" w:rsidRPr="00974DEC" w:rsidRDefault="00750627" w:rsidP="00F533AC">
            <w:pPr>
              <w:jc w:val="right"/>
            </w:pPr>
            <w:r>
              <w:t>£1.800m</w:t>
            </w:r>
          </w:p>
        </w:tc>
      </w:tr>
    </w:tbl>
    <w:p w:rsidR="00F533AC" w:rsidRPr="009214FB" w:rsidRDefault="00057DFB" w:rsidP="00F533AC"/>
    <w:p w:rsidR="00F533AC" w:rsidRPr="00E242D4" w:rsidRDefault="00750627" w:rsidP="00F533AC">
      <w:pPr>
        <w:pStyle w:val="ListParagraph"/>
        <w:tabs>
          <w:tab w:val="left" w:pos="3285"/>
        </w:tabs>
        <w:spacing w:after="120" w:line="276" w:lineRule="auto"/>
        <w:ind w:left="-108" w:firstLine="108"/>
        <w:rPr>
          <w:b/>
          <w:i/>
        </w:rPr>
      </w:pPr>
      <w:r w:rsidRPr="00E242D4">
        <w:rPr>
          <w:b/>
          <w:i/>
        </w:rPr>
        <w:t>Maturity structure of debt</w:t>
      </w:r>
    </w:p>
    <w:p w:rsidR="00F533AC" w:rsidRPr="00354B3D" w:rsidRDefault="00750627" w:rsidP="00F533AC">
      <w:pPr>
        <w:pStyle w:val="ListParagraph"/>
        <w:tabs>
          <w:tab w:val="left" w:pos="3285"/>
        </w:tabs>
        <w:spacing w:after="120" w:line="276" w:lineRule="auto"/>
        <w:ind w:left="-108" w:firstLine="108"/>
        <w:rPr>
          <w:b/>
        </w:rPr>
      </w:pPr>
      <w:r w:rsidRPr="009E48A6">
        <w:t xml:space="preserve">Limits on the maturity structure of </w:t>
      </w:r>
      <w:r>
        <w:t xml:space="preserve">fixed </w:t>
      </w:r>
      <w:r w:rsidRPr="009E48A6">
        <w:t>debt help control refinancing</w:t>
      </w:r>
      <w:r>
        <w:t xml:space="preserve"> </w:t>
      </w:r>
      <w:r w:rsidRPr="009E48A6">
        <w:t>risk</w:t>
      </w:r>
    </w:p>
    <w:p w:rsidR="00F533AC" w:rsidRDefault="00057DFB" w:rsidP="00F533AC">
      <w:pPr>
        <w:pStyle w:val="ListParagraph"/>
        <w:tabs>
          <w:tab w:val="left" w:pos="0"/>
        </w:tabs>
        <w:spacing w:line="276" w:lineRule="auto"/>
        <w:ind w:left="0"/>
        <w:rPr>
          <w:b/>
          <w:color w:val="000000"/>
        </w:rPr>
      </w:pPr>
    </w:p>
    <w:tbl>
      <w:tblPr>
        <w:tblW w:w="9072" w:type="dxa"/>
        <w:tblInd w:w="-5" w:type="dxa"/>
        <w:tblLook w:val="04A0" w:firstRow="1" w:lastRow="0" w:firstColumn="1" w:lastColumn="0" w:noHBand="0" w:noVBand="1"/>
      </w:tblPr>
      <w:tblGrid>
        <w:gridCol w:w="5387"/>
        <w:gridCol w:w="1843"/>
        <w:gridCol w:w="1842"/>
      </w:tblGrid>
      <w:tr w:rsidR="00CB5B91" w:rsidTr="00F533AC">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Upper Limit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2017</w:t>
            </w:r>
          </w:p>
        </w:tc>
      </w:tr>
      <w:tr w:rsidR="00CB5B91" w:rsidTr="00F533AC">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Under 12 months</w:t>
            </w:r>
          </w:p>
        </w:tc>
        <w:tc>
          <w:tcPr>
            <w:tcW w:w="1843"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75%</w:t>
            </w:r>
          </w:p>
        </w:tc>
        <w:tc>
          <w:tcPr>
            <w:tcW w:w="1842"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47%</w:t>
            </w:r>
          </w:p>
        </w:tc>
      </w:tr>
      <w:tr w:rsidR="00CB5B91" w:rsidTr="00F533AC">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12 months and within 2 years</w:t>
            </w:r>
          </w:p>
        </w:tc>
        <w:tc>
          <w:tcPr>
            <w:tcW w:w="1843"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75%</w:t>
            </w:r>
          </w:p>
        </w:tc>
        <w:tc>
          <w:tcPr>
            <w:tcW w:w="1842"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5%</w:t>
            </w:r>
          </w:p>
        </w:tc>
      </w:tr>
      <w:tr w:rsidR="00CB5B91" w:rsidTr="00F533AC">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2 years and within 5 years</w:t>
            </w:r>
          </w:p>
        </w:tc>
        <w:tc>
          <w:tcPr>
            <w:tcW w:w="1843"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75%</w:t>
            </w:r>
          </w:p>
        </w:tc>
        <w:tc>
          <w:tcPr>
            <w:tcW w:w="1842"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26%</w:t>
            </w:r>
          </w:p>
        </w:tc>
      </w:tr>
      <w:tr w:rsidR="00CB5B91" w:rsidTr="00F533AC">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5 years and within 10 years</w:t>
            </w:r>
          </w:p>
        </w:tc>
        <w:tc>
          <w:tcPr>
            <w:tcW w:w="1843"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75%</w:t>
            </w:r>
          </w:p>
        </w:tc>
        <w:tc>
          <w:tcPr>
            <w:tcW w:w="1842"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6%</w:t>
            </w:r>
          </w:p>
        </w:tc>
      </w:tr>
      <w:tr w:rsidR="00CB5B91" w:rsidTr="00F533AC">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10 years and above</w:t>
            </w:r>
          </w:p>
        </w:tc>
        <w:tc>
          <w:tcPr>
            <w:tcW w:w="1843"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50%</w:t>
            </w:r>
          </w:p>
        </w:tc>
        <w:tc>
          <w:tcPr>
            <w:tcW w:w="1842"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jc w:val="right"/>
              <w:rPr>
                <w:color w:val="000000"/>
              </w:rPr>
            </w:pPr>
            <w:r w:rsidRPr="00354B3D">
              <w:rPr>
                <w:color w:val="000000"/>
              </w:rPr>
              <w:t>16%</w:t>
            </w:r>
          </w:p>
        </w:tc>
      </w:tr>
    </w:tbl>
    <w:p w:rsidR="00F533AC" w:rsidRDefault="00057DFB" w:rsidP="00F533AC">
      <w:pPr>
        <w:pStyle w:val="ListParagraph"/>
        <w:tabs>
          <w:tab w:val="left" w:pos="0"/>
        </w:tabs>
        <w:spacing w:line="276" w:lineRule="auto"/>
        <w:ind w:left="0"/>
        <w:rPr>
          <w:b/>
          <w:color w:val="000000"/>
        </w:rPr>
      </w:pPr>
    </w:p>
    <w:p w:rsidR="00F533AC" w:rsidRPr="00E242D4" w:rsidRDefault="00750627" w:rsidP="00F533AC">
      <w:pPr>
        <w:pStyle w:val="ListParagraph"/>
        <w:tabs>
          <w:tab w:val="left" w:pos="0"/>
        </w:tabs>
        <w:spacing w:line="276" w:lineRule="auto"/>
        <w:ind w:left="0"/>
        <w:rPr>
          <w:b/>
          <w:i/>
          <w:color w:val="000000"/>
        </w:rPr>
      </w:pPr>
      <w:r w:rsidRPr="00E242D4">
        <w:rPr>
          <w:b/>
          <w:i/>
          <w:color w:val="000000"/>
        </w:rPr>
        <w:t>Investments over 364 days</w:t>
      </w:r>
    </w:p>
    <w:p w:rsidR="00F533AC" w:rsidRDefault="00750627" w:rsidP="00F533AC">
      <w:pPr>
        <w:tabs>
          <w:tab w:val="left" w:pos="0"/>
        </w:tabs>
        <w:jc w:val="both"/>
        <w:rPr>
          <w:color w:val="000000"/>
        </w:rPr>
      </w:pPr>
      <w:r>
        <w:rPr>
          <w:color w:val="000000"/>
        </w:rPr>
        <w:t>Limit on the level of long term investments helps to control liquidity, although the majority of these investments are currently held in available for sale securities. The limit is an operational one and if required can be exceeded with the approval of the Director of Finance. The proposed operational limit is:</w:t>
      </w:r>
    </w:p>
    <w:p w:rsidR="00F533AC" w:rsidRDefault="00057DFB" w:rsidP="00F533AC">
      <w:pPr>
        <w:tabs>
          <w:tab w:val="left" w:pos="0"/>
        </w:tabs>
        <w:jc w:val="both"/>
        <w:rPr>
          <w:color w:val="000000"/>
        </w:rPr>
      </w:pPr>
    </w:p>
    <w:tbl>
      <w:tblPr>
        <w:tblStyle w:val="TableGrid"/>
        <w:tblW w:w="9067" w:type="dxa"/>
        <w:tblLook w:val="04A0" w:firstRow="1" w:lastRow="0" w:firstColumn="1" w:lastColumn="0" w:noHBand="0" w:noVBand="1"/>
      </w:tblPr>
      <w:tblGrid>
        <w:gridCol w:w="7225"/>
        <w:gridCol w:w="1842"/>
      </w:tblGrid>
      <w:tr w:rsidR="00CB5B91" w:rsidTr="00F533AC">
        <w:trPr>
          <w:trHeight w:val="300"/>
        </w:trPr>
        <w:tc>
          <w:tcPr>
            <w:tcW w:w="7225" w:type="dxa"/>
            <w:noWrap/>
            <w:hideMark/>
          </w:tcPr>
          <w:p w:rsidR="00F533AC" w:rsidRPr="0036783E" w:rsidRDefault="00750627">
            <w:pPr>
              <w:rPr>
                <w:color w:val="000000"/>
              </w:rPr>
            </w:pPr>
            <w:r w:rsidRPr="0036783E">
              <w:rPr>
                <w:color w:val="000000"/>
              </w:rPr>
              <w:t> </w:t>
            </w:r>
          </w:p>
        </w:tc>
        <w:tc>
          <w:tcPr>
            <w:tcW w:w="1842" w:type="dxa"/>
            <w:noWrap/>
            <w:hideMark/>
          </w:tcPr>
          <w:p w:rsidR="00F533AC" w:rsidRPr="0036783E" w:rsidRDefault="00750627" w:rsidP="00F533AC">
            <w:pPr>
              <w:jc w:val="center"/>
              <w:rPr>
                <w:color w:val="000000"/>
              </w:rPr>
            </w:pPr>
            <w:r w:rsidRPr="0036783E">
              <w:rPr>
                <w:color w:val="000000"/>
              </w:rPr>
              <w:t>Upper limit</w:t>
            </w:r>
          </w:p>
        </w:tc>
      </w:tr>
      <w:tr w:rsidR="00CB5B91" w:rsidTr="00F533AC">
        <w:trPr>
          <w:trHeight w:val="300"/>
        </w:trPr>
        <w:tc>
          <w:tcPr>
            <w:tcW w:w="7225" w:type="dxa"/>
            <w:noWrap/>
            <w:hideMark/>
          </w:tcPr>
          <w:p w:rsidR="00F533AC" w:rsidRPr="0036783E" w:rsidRDefault="00750627">
            <w:pPr>
              <w:rPr>
                <w:color w:val="000000"/>
              </w:rPr>
            </w:pPr>
            <w:r w:rsidRPr="0036783E">
              <w:rPr>
                <w:color w:val="000000"/>
              </w:rPr>
              <w:t>Total invested over 364 days</w:t>
            </w:r>
          </w:p>
        </w:tc>
        <w:tc>
          <w:tcPr>
            <w:tcW w:w="1842" w:type="dxa"/>
            <w:noWrap/>
            <w:hideMark/>
          </w:tcPr>
          <w:p w:rsidR="00F533AC" w:rsidRPr="0036783E" w:rsidRDefault="00750627" w:rsidP="00F533AC">
            <w:pPr>
              <w:jc w:val="right"/>
              <w:rPr>
                <w:color w:val="000000"/>
              </w:rPr>
            </w:pPr>
            <w:r>
              <w:rPr>
                <w:color w:val="000000"/>
              </w:rPr>
              <w:t>£300</w:t>
            </w:r>
            <w:r w:rsidRPr="0036783E">
              <w:rPr>
                <w:color w:val="000000"/>
              </w:rPr>
              <w:t>m</w:t>
            </w:r>
          </w:p>
        </w:tc>
      </w:tr>
    </w:tbl>
    <w:p w:rsidR="00F533AC" w:rsidRPr="009214FB" w:rsidRDefault="00057DFB" w:rsidP="00F533AC">
      <w:pPr>
        <w:rPr>
          <w:color w:val="000000"/>
        </w:rPr>
      </w:pPr>
    </w:p>
    <w:p w:rsidR="00F533AC" w:rsidRPr="00E242D4" w:rsidRDefault="00750627" w:rsidP="00F533AC">
      <w:pPr>
        <w:rPr>
          <w:b/>
          <w:i/>
          <w:color w:val="000000"/>
        </w:rPr>
      </w:pPr>
      <w:r w:rsidRPr="00E242D4">
        <w:rPr>
          <w:b/>
          <w:i/>
          <w:color w:val="000000"/>
        </w:rPr>
        <w:t>Minimum Average Credit Rating</w:t>
      </w:r>
    </w:p>
    <w:p w:rsidR="00F533AC" w:rsidRDefault="00750627" w:rsidP="00F533AC">
      <w:pPr>
        <w:jc w:val="both"/>
      </w:pPr>
      <w:r w:rsidRPr="009E48A6">
        <w:t xml:space="preserve">To control credit risk the </w:t>
      </w:r>
      <w:r>
        <w:t>council</w:t>
      </w:r>
      <w:r w:rsidRPr="009E48A6">
        <w:t xml:space="preserve"> requires a very high credit rating from its treasury counterparties</w:t>
      </w:r>
    </w:p>
    <w:p w:rsidR="00F533AC" w:rsidRDefault="00057DFB" w:rsidP="00F533AC">
      <w:pPr>
        <w:jc w:val="both"/>
      </w:pPr>
    </w:p>
    <w:tbl>
      <w:tblPr>
        <w:tblW w:w="9072" w:type="dxa"/>
        <w:tblInd w:w="-5" w:type="dxa"/>
        <w:tblLook w:val="04A0" w:firstRow="1" w:lastRow="0" w:firstColumn="1" w:lastColumn="0" w:noHBand="0" w:noVBand="1"/>
      </w:tblPr>
      <w:tblGrid>
        <w:gridCol w:w="5529"/>
        <w:gridCol w:w="1701"/>
        <w:gridCol w:w="1842"/>
      </w:tblGrid>
      <w:tr w:rsidR="00CB5B91" w:rsidTr="00F533AC">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AC" w:rsidRPr="00354B3D" w:rsidRDefault="00057DFB" w:rsidP="00F533AC">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Benchmark</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533AC" w:rsidRPr="00354B3D" w:rsidRDefault="00750627" w:rsidP="00F533AC">
            <w:pPr>
              <w:jc w:val="center"/>
              <w:rPr>
                <w:color w:val="000000"/>
              </w:rPr>
            </w:pPr>
            <w:r w:rsidRPr="00354B3D">
              <w:rPr>
                <w:color w:val="000000"/>
              </w:rPr>
              <w:t>2017</w:t>
            </w:r>
          </w:p>
        </w:tc>
      </w:tr>
      <w:tr w:rsidR="00CB5B91" w:rsidTr="00F533AC">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Average counterparty credit rating</w:t>
            </w:r>
          </w:p>
        </w:tc>
        <w:tc>
          <w:tcPr>
            <w:tcW w:w="1701"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A+</w:t>
            </w:r>
          </w:p>
        </w:tc>
        <w:tc>
          <w:tcPr>
            <w:tcW w:w="1842" w:type="dxa"/>
            <w:tcBorders>
              <w:top w:val="nil"/>
              <w:left w:val="nil"/>
              <w:bottom w:val="single" w:sz="4" w:space="0" w:color="auto"/>
              <w:right w:val="single" w:sz="4" w:space="0" w:color="auto"/>
            </w:tcBorders>
            <w:shd w:val="clear" w:color="auto" w:fill="auto"/>
            <w:noWrap/>
            <w:vAlign w:val="bottom"/>
            <w:hideMark/>
          </w:tcPr>
          <w:p w:rsidR="00F533AC" w:rsidRPr="00354B3D" w:rsidRDefault="00750627" w:rsidP="00F533AC">
            <w:pPr>
              <w:rPr>
                <w:color w:val="000000"/>
              </w:rPr>
            </w:pPr>
            <w:r w:rsidRPr="00354B3D">
              <w:rPr>
                <w:color w:val="000000"/>
              </w:rPr>
              <w:t>AA+</w:t>
            </w:r>
          </w:p>
        </w:tc>
      </w:tr>
    </w:tbl>
    <w:p w:rsidR="00F533AC" w:rsidRDefault="00057DFB" w:rsidP="00F533AC">
      <w:pPr>
        <w:jc w:val="right"/>
        <w:rPr>
          <w:color w:val="000000"/>
        </w:rPr>
      </w:pPr>
    </w:p>
    <w:p w:rsidR="00F533AC" w:rsidRDefault="00057DFB" w:rsidP="00F533AC">
      <w:pPr>
        <w:rPr>
          <w:color w:val="000000"/>
        </w:rPr>
      </w:pPr>
    </w:p>
    <w:p w:rsidR="00F533AC" w:rsidRDefault="00057DFB" w:rsidP="00F533AC">
      <w:pPr>
        <w:jc w:val="right"/>
        <w:rPr>
          <w:color w:val="000000"/>
        </w:rPr>
      </w:pPr>
    </w:p>
    <w:p w:rsidR="00F533AC" w:rsidRDefault="00057DFB" w:rsidP="00F533AC">
      <w:pPr>
        <w:jc w:val="right"/>
        <w:rPr>
          <w:color w:val="000000"/>
        </w:rPr>
      </w:pPr>
    </w:p>
    <w:p w:rsidR="00F533AC" w:rsidRDefault="00057DFB" w:rsidP="00F533AC">
      <w:pPr>
        <w:jc w:val="right"/>
        <w:rPr>
          <w:color w:val="000000"/>
        </w:rPr>
      </w:pPr>
    </w:p>
    <w:p w:rsidR="00F533AC" w:rsidRDefault="00750627" w:rsidP="00F533AC">
      <w:pPr>
        <w:jc w:val="right"/>
        <w:rPr>
          <w:color w:val="000000"/>
        </w:rPr>
      </w:pPr>
      <w:r>
        <w:rPr>
          <w:color w:val="000000"/>
        </w:rPr>
        <w:lastRenderedPageBreak/>
        <w:t>Annex B</w:t>
      </w:r>
    </w:p>
    <w:p w:rsidR="00F533AC" w:rsidRPr="00354B3D" w:rsidRDefault="00750627">
      <w:pPr>
        <w:rPr>
          <w:b/>
          <w:color w:val="000000"/>
          <w:sz w:val="28"/>
          <w:szCs w:val="28"/>
        </w:rPr>
      </w:pPr>
      <w:r w:rsidRPr="00354B3D">
        <w:rPr>
          <w:b/>
          <w:color w:val="000000"/>
          <w:sz w:val="28"/>
          <w:szCs w:val="28"/>
        </w:rPr>
        <w:t xml:space="preserve">Minimum Revenue Provision Statement 2018/19 </w:t>
      </w:r>
    </w:p>
    <w:p w:rsidR="00F533AC" w:rsidRPr="00D711ED" w:rsidRDefault="00057DFB" w:rsidP="00F533AC">
      <w:pPr>
        <w:rPr>
          <w:color w:val="000000"/>
        </w:rPr>
      </w:pPr>
    </w:p>
    <w:p w:rsidR="00F533AC" w:rsidRPr="00D711ED" w:rsidRDefault="00750627" w:rsidP="00F533AC">
      <w:pPr>
        <w:jc w:val="both"/>
        <w:rPr>
          <w:color w:val="000000"/>
        </w:rPr>
      </w:pPr>
      <w:r w:rsidRPr="00D711ED">
        <w:rPr>
          <w:color w:val="000000"/>
        </w:rPr>
        <w:t xml:space="preserve">This </w:t>
      </w:r>
      <w:r>
        <w:rPr>
          <w:color w:val="000000"/>
        </w:rPr>
        <w:t xml:space="preserve">requirement for this </w:t>
      </w:r>
      <w:r w:rsidRPr="00D711ED">
        <w:rPr>
          <w:color w:val="000000"/>
        </w:rPr>
        <w:t xml:space="preserve">annual </w:t>
      </w:r>
      <w:r>
        <w:rPr>
          <w:color w:val="000000"/>
        </w:rPr>
        <w:t>s</w:t>
      </w:r>
      <w:r w:rsidRPr="00D711ED">
        <w:rPr>
          <w:color w:val="000000"/>
        </w:rPr>
        <w:t>tatement</w:t>
      </w:r>
      <w:r>
        <w:rPr>
          <w:color w:val="000000"/>
        </w:rPr>
        <w:t xml:space="preserve"> </w:t>
      </w:r>
      <w:r w:rsidRPr="00D711ED">
        <w:rPr>
          <w:color w:val="000000"/>
        </w:rPr>
        <w:t xml:space="preserve">to be approved by the </w:t>
      </w:r>
      <w:r>
        <w:rPr>
          <w:color w:val="000000"/>
        </w:rPr>
        <w:t>c</w:t>
      </w:r>
      <w:r w:rsidRPr="00D711ED">
        <w:rPr>
          <w:color w:val="000000"/>
        </w:rPr>
        <w:t xml:space="preserve">ounty </w:t>
      </w:r>
      <w:r>
        <w:rPr>
          <w:color w:val="000000"/>
        </w:rPr>
        <w:t>c</w:t>
      </w:r>
      <w:r w:rsidRPr="00D711ED">
        <w:rPr>
          <w:color w:val="000000"/>
        </w:rPr>
        <w:t>ouncil arises from statutory guidance initially issued by the Department of Communities and Local Government (DCLG) in 2008 and updated in 2010. DCLG have</w:t>
      </w:r>
      <w:r>
        <w:rPr>
          <w:color w:val="000000"/>
        </w:rPr>
        <w:t xml:space="preserve"> recently</w:t>
      </w:r>
      <w:r w:rsidRPr="00D711ED">
        <w:rPr>
          <w:color w:val="000000"/>
        </w:rPr>
        <w:t xml:space="preserve"> issued a </w:t>
      </w:r>
      <w:r>
        <w:rPr>
          <w:color w:val="000000"/>
        </w:rPr>
        <w:t>c</w:t>
      </w:r>
      <w:r w:rsidRPr="00D711ED">
        <w:rPr>
          <w:color w:val="000000"/>
        </w:rPr>
        <w:t xml:space="preserve">onsultation </w:t>
      </w:r>
      <w:r>
        <w:rPr>
          <w:color w:val="000000"/>
        </w:rPr>
        <w:t>p</w:t>
      </w:r>
      <w:r w:rsidRPr="00D711ED">
        <w:rPr>
          <w:color w:val="000000"/>
        </w:rPr>
        <w:t xml:space="preserve">aper </w:t>
      </w:r>
      <w:r>
        <w:rPr>
          <w:color w:val="000000"/>
        </w:rPr>
        <w:t xml:space="preserve">including this subject area </w:t>
      </w:r>
      <w:r w:rsidRPr="00D711ED">
        <w:rPr>
          <w:color w:val="000000"/>
        </w:rPr>
        <w:t>and this has been taken into consideration</w:t>
      </w:r>
      <w:r>
        <w:rPr>
          <w:color w:val="000000"/>
        </w:rPr>
        <w:t xml:space="preserve"> in producing this policy statement</w:t>
      </w:r>
      <w:r w:rsidRPr="00D711ED">
        <w:rPr>
          <w:color w:val="000000"/>
        </w:rPr>
        <w:t xml:space="preserve">. </w:t>
      </w:r>
    </w:p>
    <w:p w:rsidR="00F533AC" w:rsidRPr="00D711ED" w:rsidRDefault="00057DFB" w:rsidP="00F533AC">
      <w:pPr>
        <w:jc w:val="both"/>
        <w:rPr>
          <w:color w:val="000000"/>
        </w:rPr>
      </w:pPr>
    </w:p>
    <w:p w:rsidR="00F533AC" w:rsidRPr="00D711ED" w:rsidRDefault="00750627" w:rsidP="00F533AC">
      <w:pPr>
        <w:jc w:val="both"/>
        <w:rPr>
          <w:color w:val="000000"/>
        </w:rPr>
      </w:pPr>
      <w:r w:rsidRPr="00D711ED">
        <w:rPr>
          <w:color w:val="000000"/>
        </w:rPr>
        <w:t xml:space="preserve">Local </w:t>
      </w:r>
      <w:r>
        <w:rPr>
          <w:color w:val="000000"/>
        </w:rPr>
        <w:t>a</w:t>
      </w:r>
      <w:r w:rsidRPr="00D711ED">
        <w:rPr>
          <w:color w:val="000000"/>
        </w:rPr>
        <w:t xml:space="preserve">uthorities are required to make a prudent charge to the revenue account in respect of </w:t>
      </w:r>
      <w:r>
        <w:rPr>
          <w:color w:val="000000"/>
        </w:rPr>
        <w:t xml:space="preserve">the </w:t>
      </w:r>
      <w:r w:rsidRPr="00D711ED">
        <w:rPr>
          <w:color w:val="000000"/>
        </w:rPr>
        <w:t xml:space="preserve">provision to repay debt and other credit liabilities (mainly finance leases or PFI contracts). This is referred to as the Minimum Revenue Provision (MRP). </w:t>
      </w:r>
    </w:p>
    <w:p w:rsidR="00F533AC" w:rsidRPr="00D711ED" w:rsidRDefault="00057DFB" w:rsidP="00F533AC">
      <w:pPr>
        <w:jc w:val="both"/>
        <w:rPr>
          <w:color w:val="000000"/>
        </w:rPr>
      </w:pPr>
    </w:p>
    <w:p w:rsidR="00F533AC" w:rsidRPr="00D711ED" w:rsidRDefault="00750627" w:rsidP="00F533AC">
      <w:pPr>
        <w:jc w:val="both"/>
        <w:rPr>
          <w:color w:val="000000"/>
        </w:rPr>
      </w:pPr>
      <w:r w:rsidRPr="00D711ED">
        <w:rPr>
          <w:color w:val="000000"/>
        </w:rPr>
        <w:t>Guidance issued by DCLG provides four options which can be used for the purpose of calculating the MRP. However the legal requirement is to set a prudent charge and therefore authorities are free to move away from the guidance if they feel it is appropriate.</w:t>
      </w:r>
    </w:p>
    <w:p w:rsidR="00F533AC" w:rsidRPr="00D711ED" w:rsidRDefault="00057DFB" w:rsidP="00F533AC">
      <w:pPr>
        <w:rPr>
          <w:color w:val="000000"/>
        </w:rPr>
      </w:pPr>
    </w:p>
    <w:p w:rsidR="00F533AC" w:rsidRPr="00E242D4" w:rsidRDefault="00750627" w:rsidP="00F533AC">
      <w:pPr>
        <w:rPr>
          <w:b/>
          <w:color w:val="000000"/>
          <w:u w:val="single"/>
        </w:rPr>
      </w:pPr>
      <w:r w:rsidRPr="00E242D4">
        <w:rPr>
          <w:b/>
          <w:color w:val="000000"/>
          <w:u w:val="single"/>
        </w:rPr>
        <w:t xml:space="preserve">The Four Options Explained </w:t>
      </w:r>
    </w:p>
    <w:p w:rsidR="00F533AC" w:rsidRDefault="00057DFB" w:rsidP="00F533AC">
      <w:pPr>
        <w:rPr>
          <w:color w:val="000000"/>
        </w:rPr>
      </w:pPr>
    </w:p>
    <w:p w:rsidR="00F533AC" w:rsidRPr="00E242D4" w:rsidRDefault="00750627" w:rsidP="00F533AC">
      <w:pPr>
        <w:rPr>
          <w:b/>
          <w:i/>
          <w:color w:val="000000"/>
        </w:rPr>
      </w:pPr>
      <w:r w:rsidRPr="00E242D4">
        <w:rPr>
          <w:b/>
          <w:i/>
          <w:color w:val="000000"/>
        </w:rPr>
        <w:t xml:space="preserve">1. Regulatory method </w:t>
      </w:r>
    </w:p>
    <w:p w:rsidR="00F533AC" w:rsidRDefault="00057DFB" w:rsidP="00F533AC">
      <w:pPr>
        <w:jc w:val="both"/>
        <w:rPr>
          <w:color w:val="000000"/>
        </w:rPr>
      </w:pPr>
    </w:p>
    <w:p w:rsidR="00F533AC" w:rsidRPr="00D711ED" w:rsidRDefault="00750627" w:rsidP="00F533AC">
      <w:pPr>
        <w:jc w:val="both"/>
        <w:rPr>
          <w:color w:val="000000"/>
        </w:rPr>
      </w:pPr>
      <w:r w:rsidRPr="00D711ED">
        <w:rPr>
          <w:color w:val="000000"/>
        </w:rPr>
        <w:t xml:space="preserve">Before the Prudential Code system of capital finance was introduced in 2004 the MRP was calculated at 4% of the credit ceiling. On the introduction of the Prudential Code this was changed to a charge of 4% of </w:t>
      </w:r>
      <w:r>
        <w:rPr>
          <w:color w:val="000000"/>
        </w:rPr>
        <w:t xml:space="preserve">the </w:t>
      </w:r>
      <w:r w:rsidRPr="00D711ED">
        <w:rPr>
          <w:color w:val="000000"/>
        </w:rPr>
        <w:t xml:space="preserve">Capital Financing Requirement, which is derived from the </w:t>
      </w:r>
      <w:r>
        <w:rPr>
          <w:color w:val="000000"/>
        </w:rPr>
        <w:t>b</w:t>
      </w:r>
      <w:r w:rsidRPr="00D711ED">
        <w:rPr>
          <w:color w:val="000000"/>
        </w:rPr>
        <w:t xml:space="preserve">alance </w:t>
      </w:r>
      <w:r>
        <w:rPr>
          <w:color w:val="000000"/>
        </w:rPr>
        <w:t>s</w:t>
      </w:r>
      <w:r w:rsidRPr="00D711ED">
        <w:rPr>
          <w:color w:val="000000"/>
        </w:rPr>
        <w:t xml:space="preserve">heet and broadly represents the outstanding debt used to finance fixed assets. However, to avoid changes in the charge to revenue in 2004/5 an adjustment figure was calculated which would then remain constant overtime. For technical accounting reasons this methodology would have led to an increase in the MRP and would therefore have had an impact upon the </w:t>
      </w:r>
      <w:r>
        <w:rPr>
          <w:color w:val="000000"/>
        </w:rPr>
        <w:t>c</w:t>
      </w:r>
      <w:r w:rsidRPr="00D711ED">
        <w:rPr>
          <w:color w:val="000000"/>
        </w:rPr>
        <w:t xml:space="preserve">ouncil's budget, so this method has not been used and is not recommended for future use. </w:t>
      </w:r>
    </w:p>
    <w:p w:rsidR="00F533AC" w:rsidRPr="00D711ED" w:rsidRDefault="00057DFB" w:rsidP="00F533AC">
      <w:pPr>
        <w:jc w:val="both"/>
        <w:rPr>
          <w:color w:val="000000"/>
        </w:rPr>
      </w:pPr>
    </w:p>
    <w:p w:rsidR="00F533AC" w:rsidRPr="00E242D4" w:rsidRDefault="00750627" w:rsidP="00F533AC">
      <w:pPr>
        <w:jc w:val="both"/>
        <w:rPr>
          <w:b/>
          <w:i/>
          <w:color w:val="000000"/>
        </w:rPr>
      </w:pPr>
      <w:r w:rsidRPr="00E242D4">
        <w:rPr>
          <w:b/>
          <w:i/>
          <w:color w:val="000000"/>
        </w:rPr>
        <w:t xml:space="preserve">2. Capital Financing Requirement (CFR) method </w:t>
      </w:r>
    </w:p>
    <w:p w:rsidR="00F533AC" w:rsidRDefault="00057DFB" w:rsidP="00F533AC">
      <w:pPr>
        <w:jc w:val="both"/>
        <w:rPr>
          <w:color w:val="000000"/>
        </w:rPr>
      </w:pPr>
    </w:p>
    <w:p w:rsidR="00F533AC" w:rsidRPr="00D711ED" w:rsidRDefault="00750627" w:rsidP="00F533AC">
      <w:pPr>
        <w:jc w:val="both"/>
        <w:rPr>
          <w:color w:val="000000"/>
        </w:rPr>
      </w:pPr>
      <w:r w:rsidRPr="00D711ED">
        <w:rPr>
          <w:color w:val="000000"/>
        </w:rPr>
        <w:t xml:space="preserve">This option allows for the MRP to be calculated as 4% of the Capital Financing Requirement. The CFR is derived from the </w:t>
      </w:r>
      <w:r>
        <w:rPr>
          <w:color w:val="000000"/>
        </w:rPr>
        <w:t>b</w:t>
      </w:r>
      <w:r w:rsidRPr="00D711ED">
        <w:rPr>
          <w:color w:val="000000"/>
        </w:rPr>
        <w:t xml:space="preserve">alance </w:t>
      </w:r>
      <w:r>
        <w:rPr>
          <w:color w:val="000000"/>
        </w:rPr>
        <w:t>s</w:t>
      </w:r>
      <w:r w:rsidRPr="00D711ED">
        <w:rPr>
          <w:color w:val="000000"/>
        </w:rPr>
        <w:t>heet and represent the value of the fixed assets for which financing provision has not already been made. This method of calculation has been used at th</w:t>
      </w:r>
      <w:r>
        <w:rPr>
          <w:color w:val="000000"/>
        </w:rPr>
        <w:t>e c</w:t>
      </w:r>
      <w:r w:rsidRPr="00D711ED">
        <w:rPr>
          <w:color w:val="000000"/>
        </w:rPr>
        <w:t xml:space="preserve">ouncil since the introduction of the MRP in 2004. </w:t>
      </w:r>
    </w:p>
    <w:p w:rsidR="00F533AC" w:rsidRPr="00D711ED" w:rsidRDefault="00057DFB" w:rsidP="00F533AC">
      <w:pPr>
        <w:rPr>
          <w:color w:val="000000"/>
        </w:rPr>
      </w:pPr>
    </w:p>
    <w:p w:rsidR="00F533AC" w:rsidRPr="00E242D4" w:rsidRDefault="00750627" w:rsidP="00F533AC">
      <w:pPr>
        <w:rPr>
          <w:b/>
          <w:i/>
          <w:color w:val="000000"/>
        </w:rPr>
      </w:pPr>
      <w:r w:rsidRPr="00E242D4">
        <w:rPr>
          <w:b/>
          <w:i/>
          <w:color w:val="000000"/>
        </w:rPr>
        <w:t xml:space="preserve">3. Asset Life Method </w:t>
      </w:r>
    </w:p>
    <w:p w:rsidR="00F533AC" w:rsidRDefault="00057DFB" w:rsidP="00F533AC">
      <w:pPr>
        <w:jc w:val="both"/>
        <w:rPr>
          <w:color w:val="000000"/>
        </w:rPr>
      </w:pPr>
    </w:p>
    <w:p w:rsidR="00F533AC" w:rsidRPr="00D711ED" w:rsidRDefault="00750627" w:rsidP="00F533AC">
      <w:pPr>
        <w:jc w:val="both"/>
        <w:rPr>
          <w:color w:val="000000"/>
        </w:rPr>
      </w:pPr>
      <w:r w:rsidRPr="00D711ED">
        <w:rPr>
          <w:color w:val="000000"/>
        </w:rPr>
        <w:t>Guidelines for this method allow for a</w:t>
      </w:r>
      <w:r>
        <w:rPr>
          <w:color w:val="000000"/>
        </w:rPr>
        <w:t>n</w:t>
      </w:r>
      <w:r w:rsidRPr="00D711ED">
        <w:rPr>
          <w:color w:val="000000"/>
        </w:rPr>
        <w:t xml:space="preserve"> MRP to be calculated based on the estimated life of the asset. The actual calculation can be</w:t>
      </w:r>
      <w:r>
        <w:rPr>
          <w:color w:val="000000"/>
        </w:rPr>
        <w:t xml:space="preserve"> made in two ways as follows:</w:t>
      </w:r>
    </w:p>
    <w:p w:rsidR="00F533AC" w:rsidRPr="00D711ED" w:rsidRDefault="00750627" w:rsidP="00F533AC">
      <w:pPr>
        <w:jc w:val="both"/>
        <w:rPr>
          <w:color w:val="000000"/>
        </w:rPr>
      </w:pPr>
      <w:r w:rsidRPr="00D711ED">
        <w:rPr>
          <w:color w:val="000000"/>
        </w:rPr>
        <w:t xml:space="preserve"> </w:t>
      </w:r>
    </w:p>
    <w:p w:rsidR="00F533AC" w:rsidRPr="00315CFE" w:rsidRDefault="00750627" w:rsidP="00F533AC">
      <w:pPr>
        <w:pStyle w:val="ListParagraph"/>
        <w:numPr>
          <w:ilvl w:val="0"/>
          <w:numId w:val="17"/>
        </w:numPr>
        <w:jc w:val="both"/>
        <w:rPr>
          <w:color w:val="000000"/>
        </w:rPr>
      </w:pPr>
      <w:r w:rsidRPr="00315CFE">
        <w:rPr>
          <w:color w:val="000000"/>
        </w:rPr>
        <w:t xml:space="preserve">A calculation to set an equal charge to revenue over the estimated life of the asset. This charge will not be varied by the state of the asset or, </w:t>
      </w:r>
    </w:p>
    <w:p w:rsidR="00F533AC" w:rsidRPr="00315CFE" w:rsidRDefault="00750627" w:rsidP="00F533AC">
      <w:pPr>
        <w:pStyle w:val="ListParagraph"/>
        <w:numPr>
          <w:ilvl w:val="0"/>
          <w:numId w:val="17"/>
        </w:numPr>
        <w:jc w:val="both"/>
        <w:rPr>
          <w:color w:val="000000"/>
        </w:rPr>
      </w:pPr>
      <w:r w:rsidRPr="00315CFE">
        <w:rPr>
          <w:color w:val="000000"/>
        </w:rPr>
        <w:t xml:space="preserve">An annuity method. This provides for greater charges in the later years of the assets life and should only be used if it can be demonstrated that benefits are likely to increase in the later years. </w:t>
      </w:r>
    </w:p>
    <w:p w:rsidR="00F533AC" w:rsidRPr="00D711ED" w:rsidRDefault="00057DFB" w:rsidP="00F533AC">
      <w:pPr>
        <w:rPr>
          <w:color w:val="000000"/>
        </w:rPr>
      </w:pPr>
    </w:p>
    <w:p w:rsidR="00F533AC" w:rsidRPr="00D711ED" w:rsidRDefault="00750627" w:rsidP="00F533AC">
      <w:pPr>
        <w:jc w:val="both"/>
        <w:rPr>
          <w:color w:val="000000"/>
        </w:rPr>
      </w:pPr>
      <w:r w:rsidRPr="00D711ED">
        <w:rPr>
          <w:color w:val="000000"/>
        </w:rPr>
        <w:lastRenderedPageBreak/>
        <w:t>The DCLG consultation paper proposes maximum asset lives to be used. These are 50 years for freehold land an</w:t>
      </w:r>
      <w:r>
        <w:rPr>
          <w:color w:val="000000"/>
        </w:rPr>
        <w:t>d</w:t>
      </w:r>
      <w:r w:rsidRPr="00D711ED">
        <w:rPr>
          <w:color w:val="000000"/>
        </w:rPr>
        <w:t xml:space="preserve"> 40 years for other assets. Altho</w:t>
      </w:r>
      <w:r>
        <w:rPr>
          <w:color w:val="000000"/>
        </w:rPr>
        <w:t xml:space="preserve">ugh these have to be confirmed. The council has generally used </w:t>
      </w:r>
      <w:r w:rsidRPr="00D711ED">
        <w:rPr>
          <w:color w:val="000000"/>
        </w:rPr>
        <w:t>asset lives within these limits. Therefore it is proposed that for 2018/19 the asset lives used in calculating the MRP will be kept within these limits.</w:t>
      </w:r>
    </w:p>
    <w:p w:rsidR="00F533AC" w:rsidRPr="00D711ED" w:rsidRDefault="00057DFB" w:rsidP="00F533AC">
      <w:pPr>
        <w:rPr>
          <w:color w:val="000000"/>
        </w:rPr>
      </w:pPr>
    </w:p>
    <w:p w:rsidR="00F533AC" w:rsidRPr="00E242D4" w:rsidRDefault="00750627" w:rsidP="00F533AC">
      <w:pPr>
        <w:rPr>
          <w:b/>
          <w:i/>
          <w:color w:val="000000"/>
        </w:rPr>
      </w:pPr>
      <w:r w:rsidRPr="00E242D4">
        <w:rPr>
          <w:b/>
          <w:i/>
          <w:color w:val="000000"/>
        </w:rPr>
        <w:t xml:space="preserve">4. Depreciation method </w:t>
      </w:r>
    </w:p>
    <w:p w:rsidR="00F533AC" w:rsidRDefault="00057DFB" w:rsidP="00F533AC">
      <w:pPr>
        <w:jc w:val="both"/>
        <w:rPr>
          <w:color w:val="000000"/>
        </w:rPr>
      </w:pPr>
    </w:p>
    <w:p w:rsidR="00F533AC" w:rsidRDefault="00750627" w:rsidP="00F533AC">
      <w:pPr>
        <w:jc w:val="both"/>
        <w:rPr>
          <w:color w:val="000000"/>
        </w:rPr>
      </w:pPr>
      <w:r w:rsidRPr="00D711ED">
        <w:rPr>
          <w:color w:val="000000"/>
        </w:rPr>
        <w:t xml:space="preserve">This requires a charge to be made </w:t>
      </w:r>
      <w:r>
        <w:rPr>
          <w:color w:val="000000"/>
        </w:rPr>
        <w:t>for</w:t>
      </w:r>
      <w:r w:rsidRPr="00D711ED">
        <w:rPr>
          <w:color w:val="000000"/>
        </w:rPr>
        <w:t xml:space="preserve"> depreciation in line with normal accounting purposes. This could include the impact of any revaluations, and would be calculated u</w:t>
      </w:r>
      <w:r>
        <w:rPr>
          <w:color w:val="000000"/>
        </w:rPr>
        <w:t xml:space="preserve">ntil the debt has been repaid. </w:t>
      </w:r>
    </w:p>
    <w:p w:rsidR="00F533AC" w:rsidRPr="00D711ED" w:rsidRDefault="00057DFB" w:rsidP="00F533AC">
      <w:pPr>
        <w:rPr>
          <w:color w:val="000000"/>
        </w:rPr>
      </w:pPr>
    </w:p>
    <w:p w:rsidR="00F533AC" w:rsidRPr="00D711ED" w:rsidRDefault="00750627" w:rsidP="00F533AC">
      <w:pPr>
        <w:jc w:val="both"/>
        <w:rPr>
          <w:color w:val="000000"/>
        </w:rPr>
      </w:pPr>
      <w:r w:rsidRPr="00D711ED">
        <w:rPr>
          <w:color w:val="000000"/>
        </w:rPr>
        <w:t xml:space="preserve">The first two options, the Regulatory and Capital Financing Requirement methods, can be applied to borrowing which is supported by government via Revenue Support Grants. </w:t>
      </w:r>
    </w:p>
    <w:p w:rsidR="00F533AC" w:rsidRPr="00D711ED" w:rsidRDefault="00057DFB" w:rsidP="00F533AC">
      <w:pPr>
        <w:jc w:val="both"/>
        <w:rPr>
          <w:color w:val="000000"/>
        </w:rPr>
      </w:pPr>
    </w:p>
    <w:p w:rsidR="00F533AC" w:rsidRPr="00D711ED" w:rsidRDefault="00750627" w:rsidP="00F533AC">
      <w:pPr>
        <w:jc w:val="both"/>
        <w:rPr>
          <w:color w:val="000000"/>
        </w:rPr>
      </w:pPr>
      <w:r w:rsidRPr="00D711ED">
        <w:rPr>
          <w:color w:val="000000"/>
        </w:rPr>
        <w:t xml:space="preserve">For capital expenditure financed by unsupported borrowing, as allowed under the Prudential Code, the guidelines identify the Asset Life method or the Depreciation method as possible alternatives. </w:t>
      </w:r>
    </w:p>
    <w:p w:rsidR="00F533AC" w:rsidRPr="00D711ED" w:rsidRDefault="00057DFB" w:rsidP="00F533AC">
      <w:pPr>
        <w:rPr>
          <w:color w:val="000000"/>
        </w:rPr>
      </w:pPr>
    </w:p>
    <w:p w:rsidR="00F533AC" w:rsidRPr="00E242D4" w:rsidRDefault="00750627" w:rsidP="00F533AC">
      <w:pPr>
        <w:rPr>
          <w:b/>
          <w:color w:val="000000"/>
          <w:u w:val="single"/>
        </w:rPr>
      </w:pPr>
      <w:r w:rsidRPr="00E242D4">
        <w:rPr>
          <w:b/>
          <w:color w:val="000000"/>
          <w:u w:val="single"/>
        </w:rPr>
        <w:t xml:space="preserve">Finance Leases and PFI </w:t>
      </w:r>
    </w:p>
    <w:p w:rsidR="00F533AC" w:rsidRPr="00D711ED" w:rsidRDefault="00057DFB" w:rsidP="00F533AC">
      <w:pPr>
        <w:rPr>
          <w:color w:val="000000"/>
        </w:rPr>
      </w:pPr>
    </w:p>
    <w:p w:rsidR="00F533AC" w:rsidRPr="00D711ED" w:rsidRDefault="00750627" w:rsidP="00F533AC">
      <w:pPr>
        <w:jc w:val="both"/>
        <w:rPr>
          <w:color w:val="000000"/>
        </w:rPr>
      </w:pPr>
      <w:r w:rsidRPr="00D711ED">
        <w:rPr>
          <w:color w:val="000000"/>
        </w:rPr>
        <w:t xml:space="preserve">Assets held under a PFI contract form part of the </w:t>
      </w:r>
      <w:r>
        <w:rPr>
          <w:color w:val="000000"/>
        </w:rPr>
        <w:t>b</w:t>
      </w:r>
      <w:r w:rsidRPr="00D711ED">
        <w:rPr>
          <w:color w:val="000000"/>
        </w:rPr>
        <w:t xml:space="preserve">alance </w:t>
      </w:r>
      <w:r>
        <w:rPr>
          <w:color w:val="000000"/>
        </w:rPr>
        <w:t>s</w:t>
      </w:r>
      <w:r w:rsidRPr="00D711ED">
        <w:rPr>
          <w:color w:val="000000"/>
        </w:rPr>
        <w:t>heet. This increase</w:t>
      </w:r>
      <w:r>
        <w:rPr>
          <w:color w:val="000000"/>
        </w:rPr>
        <w:t>s</w:t>
      </w:r>
      <w:r w:rsidRPr="00D711ED">
        <w:rPr>
          <w:color w:val="000000"/>
        </w:rPr>
        <w:t xml:space="preserve"> the </w:t>
      </w:r>
      <w:r>
        <w:rPr>
          <w:color w:val="000000"/>
        </w:rPr>
        <w:t xml:space="preserve">CFR </w:t>
      </w:r>
      <w:r w:rsidRPr="00D711ED">
        <w:rPr>
          <w:color w:val="000000"/>
        </w:rPr>
        <w:t>and on a 4% basis the</w:t>
      </w:r>
      <w:r>
        <w:rPr>
          <w:color w:val="000000"/>
        </w:rPr>
        <w:t xml:space="preserve"> </w:t>
      </w:r>
      <w:r w:rsidRPr="00D711ED">
        <w:rPr>
          <w:color w:val="000000"/>
        </w:rPr>
        <w:t xml:space="preserve">charge to </w:t>
      </w:r>
      <w:r>
        <w:rPr>
          <w:color w:val="000000"/>
        </w:rPr>
        <w:t xml:space="preserve">the </w:t>
      </w:r>
      <w:r w:rsidRPr="00D711ED">
        <w:rPr>
          <w:color w:val="000000"/>
        </w:rPr>
        <w:t>revenue</w:t>
      </w:r>
      <w:r>
        <w:rPr>
          <w:color w:val="000000"/>
        </w:rPr>
        <w:t xml:space="preserve"> account</w:t>
      </w:r>
      <w:r w:rsidRPr="00D711ED">
        <w:rPr>
          <w:color w:val="000000"/>
        </w:rPr>
        <w:t>. To prevent the increase the guidance permits a prudent MRP to equate to the amount charged to revenue under the contract to repay the liability. In terms of the</w:t>
      </w:r>
      <w:r>
        <w:rPr>
          <w:color w:val="000000"/>
        </w:rPr>
        <w:t xml:space="preserve"> existing</w:t>
      </w:r>
      <w:r w:rsidRPr="00D711ED">
        <w:rPr>
          <w:color w:val="000000"/>
        </w:rPr>
        <w:t xml:space="preserve"> PFI schemes this charge forms part of the payment due to the PFI contractor. </w:t>
      </w:r>
    </w:p>
    <w:p w:rsidR="00F533AC" w:rsidRPr="00D711ED" w:rsidRDefault="00057DFB" w:rsidP="00F533AC">
      <w:pPr>
        <w:rPr>
          <w:color w:val="000000"/>
        </w:rPr>
      </w:pPr>
    </w:p>
    <w:p w:rsidR="00F533AC" w:rsidRPr="004977DB" w:rsidRDefault="00750627" w:rsidP="00F533AC">
      <w:pPr>
        <w:rPr>
          <w:b/>
          <w:color w:val="000000"/>
          <w:u w:val="single"/>
        </w:rPr>
      </w:pPr>
      <w:r w:rsidRPr="004977DB">
        <w:rPr>
          <w:b/>
          <w:color w:val="000000"/>
          <w:u w:val="single"/>
        </w:rPr>
        <w:t>The Council's Policy</w:t>
      </w:r>
    </w:p>
    <w:p w:rsidR="00F533AC" w:rsidRPr="00D711ED" w:rsidRDefault="00057DFB" w:rsidP="00F533AC">
      <w:pPr>
        <w:rPr>
          <w:color w:val="000000"/>
        </w:rPr>
      </w:pPr>
    </w:p>
    <w:p w:rsidR="00F533AC" w:rsidRPr="00D711ED" w:rsidRDefault="00750627" w:rsidP="00F533AC">
      <w:pPr>
        <w:jc w:val="both"/>
        <w:rPr>
          <w:color w:val="000000"/>
        </w:rPr>
      </w:pPr>
      <w:r w:rsidRPr="00D711ED">
        <w:rPr>
          <w:color w:val="000000"/>
        </w:rPr>
        <w:t xml:space="preserve">From 2008/09 to 2014/15 the CFR </w:t>
      </w:r>
      <w:r>
        <w:rPr>
          <w:color w:val="000000"/>
        </w:rPr>
        <w:t>method</w:t>
      </w:r>
      <w:r w:rsidRPr="00D711ED">
        <w:rPr>
          <w:color w:val="000000"/>
        </w:rPr>
        <w:t xml:space="preserve"> has been applied to all supported borrowing incurred before 1 April 2007. This charge </w:t>
      </w:r>
      <w:r>
        <w:rPr>
          <w:color w:val="000000"/>
        </w:rPr>
        <w:t>is</w:t>
      </w:r>
      <w:r w:rsidRPr="00D711ED">
        <w:rPr>
          <w:color w:val="000000"/>
        </w:rPr>
        <w:t xml:space="preserve"> based on 4% of the outstanding capital financing. </w:t>
      </w:r>
      <w:r>
        <w:rPr>
          <w:color w:val="000000"/>
        </w:rPr>
        <w:t>As t</w:t>
      </w:r>
      <w:r w:rsidRPr="00D711ED">
        <w:rPr>
          <w:color w:val="000000"/>
        </w:rPr>
        <w:t>he charge</w:t>
      </w:r>
      <w:r>
        <w:rPr>
          <w:color w:val="000000"/>
        </w:rPr>
        <w:t xml:space="preserve"> is</w:t>
      </w:r>
      <w:r w:rsidRPr="00D711ED">
        <w:rPr>
          <w:color w:val="000000"/>
        </w:rPr>
        <w:t xml:space="preserve"> based on a 4% reducing balance</w:t>
      </w:r>
      <w:r>
        <w:rPr>
          <w:color w:val="000000"/>
        </w:rPr>
        <w:t>, it</w:t>
      </w:r>
      <w:r w:rsidRPr="00D711ED">
        <w:rPr>
          <w:color w:val="000000"/>
        </w:rPr>
        <w:t xml:space="preserve"> never effectively repays the debt.</w:t>
      </w:r>
      <w:r>
        <w:rPr>
          <w:color w:val="000000"/>
        </w:rPr>
        <w:t xml:space="preserve"> Also, it is </w:t>
      </w:r>
      <w:r w:rsidRPr="00D711ED">
        <w:rPr>
          <w:color w:val="000000"/>
        </w:rPr>
        <w:t xml:space="preserve">considered that the 4% charge over-estimates the level of support within the revenue support grant. From 2015/16 the charge </w:t>
      </w:r>
      <w:r>
        <w:rPr>
          <w:color w:val="000000"/>
        </w:rPr>
        <w:t>was</w:t>
      </w:r>
      <w:r w:rsidRPr="00D711ED">
        <w:rPr>
          <w:color w:val="000000"/>
        </w:rPr>
        <w:t xml:space="preserve"> made </w:t>
      </w:r>
      <w:r>
        <w:rPr>
          <w:color w:val="000000"/>
        </w:rPr>
        <w:t>with</w:t>
      </w:r>
      <w:r w:rsidRPr="00D711ED">
        <w:rPr>
          <w:color w:val="000000"/>
        </w:rPr>
        <w:t xml:space="preserve"> reference to the </w:t>
      </w:r>
      <w:r>
        <w:rPr>
          <w:color w:val="000000"/>
        </w:rPr>
        <w:t>CFR</w:t>
      </w:r>
      <w:r w:rsidRPr="00D711ED">
        <w:rPr>
          <w:color w:val="000000"/>
        </w:rPr>
        <w:t xml:space="preserve"> but based upon a 50 year life rather than a reducing balance. It is assumed that there is an equal charge over each of the 50 years. It is proposed to continue this policy in 2018/19.</w:t>
      </w:r>
    </w:p>
    <w:p w:rsidR="00F533AC" w:rsidRPr="00D711ED" w:rsidRDefault="00057DFB" w:rsidP="00F533AC">
      <w:pPr>
        <w:rPr>
          <w:color w:val="000000"/>
        </w:rPr>
      </w:pPr>
    </w:p>
    <w:p w:rsidR="00F533AC" w:rsidRPr="00D711ED" w:rsidRDefault="00750627" w:rsidP="00F533AC">
      <w:pPr>
        <w:jc w:val="both"/>
        <w:rPr>
          <w:color w:val="000000"/>
        </w:rPr>
      </w:pPr>
      <w:r w:rsidRPr="00D711ED">
        <w:rPr>
          <w:color w:val="000000"/>
        </w:rPr>
        <w:t xml:space="preserve">For 2008/09 to 2014/15 the Asset Life method (Equal Charge approach) has generally </w:t>
      </w:r>
      <w:r>
        <w:rPr>
          <w:color w:val="000000"/>
        </w:rPr>
        <w:t xml:space="preserve">been </w:t>
      </w:r>
      <w:r w:rsidRPr="00D711ED">
        <w:rPr>
          <w:color w:val="000000"/>
        </w:rPr>
        <w:t xml:space="preserve">applied to capital expenditure financed by unsupported borrowing. PFI payments will be made in line with the amounts due to repay the liability under the contract.   An alternative approach to the equal charge is the annuity method which is the cheapest MRP option in the early years, and maintains a constant impact on the revenue account over the useful life of the asset being financed, once interest costs are taken into account. The basis of the charge will </w:t>
      </w:r>
      <w:r>
        <w:rPr>
          <w:color w:val="000000"/>
        </w:rPr>
        <w:t>remain as</w:t>
      </w:r>
      <w:r w:rsidRPr="00D711ED">
        <w:rPr>
          <w:color w:val="000000"/>
        </w:rPr>
        <w:t xml:space="preserve"> the asset life</w:t>
      </w:r>
      <w:r>
        <w:rPr>
          <w:color w:val="000000"/>
        </w:rPr>
        <w:t xml:space="preserve"> for 2018/19</w:t>
      </w:r>
      <w:r w:rsidRPr="00D711ED">
        <w:rPr>
          <w:color w:val="000000"/>
        </w:rPr>
        <w:t xml:space="preserve"> </w:t>
      </w:r>
      <w:r>
        <w:rPr>
          <w:color w:val="000000"/>
        </w:rPr>
        <w:t>and the annuity basis will be</w:t>
      </w:r>
      <w:r w:rsidRPr="00D711ED">
        <w:rPr>
          <w:color w:val="000000"/>
        </w:rPr>
        <w:t xml:space="preserve"> used </w:t>
      </w:r>
      <w:r>
        <w:rPr>
          <w:color w:val="000000"/>
        </w:rPr>
        <w:t>to</w:t>
      </w:r>
      <w:r w:rsidRPr="00D711ED">
        <w:rPr>
          <w:color w:val="000000"/>
        </w:rPr>
        <w:t xml:space="preserve"> calculat</w:t>
      </w:r>
      <w:r>
        <w:rPr>
          <w:color w:val="000000"/>
        </w:rPr>
        <w:t>e</w:t>
      </w:r>
      <w:r w:rsidRPr="00D711ED">
        <w:rPr>
          <w:color w:val="000000"/>
        </w:rPr>
        <w:t xml:space="preserve"> the MRP.</w:t>
      </w:r>
    </w:p>
    <w:p w:rsidR="00F533AC" w:rsidRDefault="00750627" w:rsidP="00F533AC">
      <w:pPr>
        <w:rPr>
          <w:color w:val="000000"/>
        </w:rPr>
      </w:pPr>
      <w:r w:rsidRPr="00D711ED">
        <w:rPr>
          <w:color w:val="000000"/>
        </w:rPr>
        <w:t xml:space="preserve"> </w:t>
      </w:r>
    </w:p>
    <w:p w:rsidR="00F533AC" w:rsidRDefault="00750627" w:rsidP="00F533AC">
      <w:pPr>
        <w:jc w:val="both"/>
        <w:rPr>
          <w:color w:val="000000"/>
        </w:rPr>
      </w:pPr>
      <w:r>
        <w:rPr>
          <w:color w:val="000000"/>
        </w:rPr>
        <w:t xml:space="preserve">For new assets </w:t>
      </w:r>
      <w:r w:rsidRPr="00D711ED">
        <w:rPr>
          <w:color w:val="000000"/>
        </w:rPr>
        <w:t>MRP will</w:t>
      </w:r>
      <w:r>
        <w:rPr>
          <w:color w:val="000000"/>
        </w:rPr>
        <w:t xml:space="preserve"> not</w:t>
      </w:r>
      <w:r w:rsidRPr="00D711ED">
        <w:rPr>
          <w:color w:val="000000"/>
        </w:rPr>
        <w:t xml:space="preserve"> be charged until the financial year after which the project is deemed to be complete.</w:t>
      </w:r>
    </w:p>
    <w:p w:rsidR="00F533AC" w:rsidRPr="00C4708F" w:rsidRDefault="00750627" w:rsidP="00F533AC">
      <w:pPr>
        <w:jc w:val="both"/>
        <w:rPr>
          <w:color w:val="000000"/>
        </w:rPr>
      </w:pPr>
      <w:r>
        <w:rPr>
          <w:color w:val="000000"/>
        </w:rPr>
        <w:lastRenderedPageBreak/>
        <w:t xml:space="preserve">MRP </w:t>
      </w:r>
      <w:r w:rsidRPr="004977DB">
        <w:rPr>
          <w:color w:val="000000"/>
        </w:rPr>
        <w:t>will not be made f</w:t>
      </w:r>
      <w:r w:rsidRPr="00C4708F">
        <w:rPr>
          <w:color w:val="000000"/>
        </w:rPr>
        <w:t xml:space="preserve">or assets constructed as part of the Preston, South </w:t>
      </w:r>
      <w:proofErr w:type="spellStart"/>
      <w:r w:rsidRPr="00C4708F">
        <w:rPr>
          <w:color w:val="000000"/>
        </w:rPr>
        <w:t>Ribble</w:t>
      </w:r>
      <w:proofErr w:type="spellEnd"/>
      <w:r w:rsidRPr="00C4708F">
        <w:rPr>
          <w:color w:val="000000"/>
        </w:rPr>
        <w:t xml:space="preserve"> and Lancashire City Deal where the borrowing will be repaid from other capital financing sources w</w:t>
      </w:r>
      <w:r>
        <w:rPr>
          <w:color w:val="000000"/>
        </w:rPr>
        <w:t>ithin the life of the City Deal. As t</w:t>
      </w:r>
      <w:r w:rsidRPr="00C4708F">
        <w:rPr>
          <w:color w:val="000000"/>
        </w:rPr>
        <w:t>his is temporary borrowing that will be repaid from sources such as Community Infrastructure Levy and funding from the Homes and Communities Agency when the development</w:t>
      </w:r>
      <w:r>
        <w:rPr>
          <w:color w:val="000000"/>
        </w:rPr>
        <w:t xml:space="preserve"> of the</w:t>
      </w:r>
      <w:r w:rsidRPr="00C4708F">
        <w:rPr>
          <w:color w:val="000000"/>
        </w:rPr>
        <w:t xml:space="preserve"> assets has taken place. Thus</w:t>
      </w:r>
      <w:r>
        <w:rPr>
          <w:color w:val="000000"/>
        </w:rPr>
        <w:t xml:space="preserve"> it is deemed that</w:t>
      </w:r>
      <w:r w:rsidRPr="00C4708F">
        <w:rPr>
          <w:color w:val="000000"/>
        </w:rPr>
        <w:t xml:space="preserve"> an alternative prudent plan for repayment is in place. However, this position will be reviewed each year in the light of progress </w:t>
      </w:r>
      <w:r>
        <w:rPr>
          <w:color w:val="000000"/>
        </w:rPr>
        <w:t>on</w:t>
      </w:r>
      <w:r w:rsidRPr="00C4708F">
        <w:rPr>
          <w:color w:val="000000"/>
        </w:rPr>
        <w:t xml:space="preserve"> the City Deal</w:t>
      </w:r>
      <w:r>
        <w:rPr>
          <w:color w:val="000000"/>
        </w:rPr>
        <w:t xml:space="preserve"> programme</w:t>
      </w:r>
      <w:r w:rsidRPr="00C4708F">
        <w:rPr>
          <w:color w:val="000000"/>
        </w:rPr>
        <w:t xml:space="preserve">. </w:t>
      </w:r>
    </w:p>
    <w:p w:rsidR="00F533AC" w:rsidRPr="00D711ED" w:rsidRDefault="00057DFB" w:rsidP="00F533AC">
      <w:pPr>
        <w:jc w:val="both"/>
        <w:rPr>
          <w:color w:val="000000"/>
        </w:rPr>
      </w:pPr>
    </w:p>
    <w:p w:rsidR="00F533AC" w:rsidRPr="00D711ED" w:rsidRDefault="00057DFB" w:rsidP="00F533AC">
      <w:pPr>
        <w:jc w:val="both"/>
        <w:rPr>
          <w:color w:val="000000"/>
        </w:rPr>
      </w:pPr>
    </w:p>
    <w:p w:rsidR="00F533AC" w:rsidRPr="004977DB" w:rsidRDefault="00057DFB" w:rsidP="00F533AC">
      <w:pPr>
        <w:jc w:val="both"/>
        <w:rPr>
          <w:color w:val="000000"/>
        </w:rPr>
      </w:pPr>
    </w:p>
    <w:sectPr w:rsidR="00F533AC" w:rsidRPr="004977DB" w:rsidSect="00F53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B85"/>
    <w:multiLevelType w:val="hybridMultilevel"/>
    <w:tmpl w:val="27185112"/>
    <w:lvl w:ilvl="0" w:tplc="BD702C56">
      <w:start w:val="1"/>
      <w:numFmt w:val="bullet"/>
      <w:lvlText w:val=""/>
      <w:lvlJc w:val="left"/>
      <w:pPr>
        <w:ind w:left="720" w:hanging="360"/>
      </w:pPr>
      <w:rPr>
        <w:rFonts w:ascii="Symbol" w:hAnsi="Symbol" w:hint="default"/>
      </w:rPr>
    </w:lvl>
    <w:lvl w:ilvl="1" w:tplc="6DBC22BE" w:tentative="1">
      <w:start w:val="1"/>
      <w:numFmt w:val="bullet"/>
      <w:lvlText w:val="o"/>
      <w:lvlJc w:val="left"/>
      <w:pPr>
        <w:ind w:left="1440" w:hanging="360"/>
      </w:pPr>
      <w:rPr>
        <w:rFonts w:ascii="Courier New" w:hAnsi="Courier New" w:cs="Courier New" w:hint="default"/>
      </w:rPr>
    </w:lvl>
    <w:lvl w:ilvl="2" w:tplc="5AF6EE76" w:tentative="1">
      <w:start w:val="1"/>
      <w:numFmt w:val="bullet"/>
      <w:lvlText w:val=""/>
      <w:lvlJc w:val="left"/>
      <w:pPr>
        <w:ind w:left="2160" w:hanging="360"/>
      </w:pPr>
      <w:rPr>
        <w:rFonts w:ascii="Wingdings" w:hAnsi="Wingdings" w:hint="default"/>
      </w:rPr>
    </w:lvl>
    <w:lvl w:ilvl="3" w:tplc="EBEEC064" w:tentative="1">
      <w:start w:val="1"/>
      <w:numFmt w:val="bullet"/>
      <w:lvlText w:val=""/>
      <w:lvlJc w:val="left"/>
      <w:pPr>
        <w:ind w:left="2880" w:hanging="360"/>
      </w:pPr>
      <w:rPr>
        <w:rFonts w:ascii="Symbol" w:hAnsi="Symbol" w:hint="default"/>
      </w:rPr>
    </w:lvl>
    <w:lvl w:ilvl="4" w:tplc="6EDA42CE" w:tentative="1">
      <w:start w:val="1"/>
      <w:numFmt w:val="bullet"/>
      <w:lvlText w:val="o"/>
      <w:lvlJc w:val="left"/>
      <w:pPr>
        <w:ind w:left="3600" w:hanging="360"/>
      </w:pPr>
      <w:rPr>
        <w:rFonts w:ascii="Courier New" w:hAnsi="Courier New" w:cs="Courier New" w:hint="default"/>
      </w:rPr>
    </w:lvl>
    <w:lvl w:ilvl="5" w:tplc="47F00E14" w:tentative="1">
      <w:start w:val="1"/>
      <w:numFmt w:val="bullet"/>
      <w:lvlText w:val=""/>
      <w:lvlJc w:val="left"/>
      <w:pPr>
        <w:ind w:left="4320" w:hanging="360"/>
      </w:pPr>
      <w:rPr>
        <w:rFonts w:ascii="Wingdings" w:hAnsi="Wingdings" w:hint="default"/>
      </w:rPr>
    </w:lvl>
    <w:lvl w:ilvl="6" w:tplc="85BCE340" w:tentative="1">
      <w:start w:val="1"/>
      <w:numFmt w:val="bullet"/>
      <w:lvlText w:val=""/>
      <w:lvlJc w:val="left"/>
      <w:pPr>
        <w:ind w:left="5040" w:hanging="360"/>
      </w:pPr>
      <w:rPr>
        <w:rFonts w:ascii="Symbol" w:hAnsi="Symbol" w:hint="default"/>
      </w:rPr>
    </w:lvl>
    <w:lvl w:ilvl="7" w:tplc="D436C71C" w:tentative="1">
      <w:start w:val="1"/>
      <w:numFmt w:val="bullet"/>
      <w:lvlText w:val="o"/>
      <w:lvlJc w:val="left"/>
      <w:pPr>
        <w:ind w:left="5760" w:hanging="360"/>
      </w:pPr>
      <w:rPr>
        <w:rFonts w:ascii="Courier New" w:hAnsi="Courier New" w:cs="Courier New" w:hint="default"/>
      </w:rPr>
    </w:lvl>
    <w:lvl w:ilvl="8" w:tplc="25EE8968" w:tentative="1">
      <w:start w:val="1"/>
      <w:numFmt w:val="bullet"/>
      <w:lvlText w:val=""/>
      <w:lvlJc w:val="left"/>
      <w:pPr>
        <w:ind w:left="6480" w:hanging="360"/>
      </w:pPr>
      <w:rPr>
        <w:rFonts w:ascii="Wingdings" w:hAnsi="Wingdings" w:hint="default"/>
      </w:rPr>
    </w:lvl>
  </w:abstractNum>
  <w:abstractNum w:abstractNumId="1" w15:restartNumberingAfterBreak="0">
    <w:nsid w:val="07A86965"/>
    <w:multiLevelType w:val="hybridMultilevel"/>
    <w:tmpl w:val="AD80A86E"/>
    <w:lvl w:ilvl="0" w:tplc="6386A6E6">
      <w:start w:val="1"/>
      <w:numFmt w:val="lowerLetter"/>
      <w:lvlText w:val="%1)"/>
      <w:lvlJc w:val="left"/>
      <w:pPr>
        <w:ind w:left="720" w:hanging="360"/>
      </w:pPr>
      <w:rPr>
        <w:rFonts w:cs="Times New Roman"/>
        <w:b w:val="0"/>
      </w:rPr>
    </w:lvl>
    <w:lvl w:ilvl="1" w:tplc="458A4CF2">
      <w:start w:val="1"/>
      <w:numFmt w:val="lowerLetter"/>
      <w:lvlText w:val="%2."/>
      <w:lvlJc w:val="left"/>
      <w:pPr>
        <w:ind w:left="1440" w:hanging="360"/>
      </w:pPr>
      <w:rPr>
        <w:rFonts w:cs="Times New Roman"/>
      </w:rPr>
    </w:lvl>
    <w:lvl w:ilvl="2" w:tplc="77FA40E4" w:tentative="1">
      <w:start w:val="1"/>
      <w:numFmt w:val="lowerRoman"/>
      <w:lvlText w:val="%3."/>
      <w:lvlJc w:val="right"/>
      <w:pPr>
        <w:ind w:left="2160" w:hanging="180"/>
      </w:pPr>
      <w:rPr>
        <w:rFonts w:cs="Times New Roman"/>
      </w:rPr>
    </w:lvl>
    <w:lvl w:ilvl="3" w:tplc="C5D64416" w:tentative="1">
      <w:start w:val="1"/>
      <w:numFmt w:val="decimal"/>
      <w:lvlText w:val="%4."/>
      <w:lvlJc w:val="left"/>
      <w:pPr>
        <w:ind w:left="2880" w:hanging="360"/>
      </w:pPr>
      <w:rPr>
        <w:rFonts w:cs="Times New Roman"/>
      </w:rPr>
    </w:lvl>
    <w:lvl w:ilvl="4" w:tplc="5A6A1BC8" w:tentative="1">
      <w:start w:val="1"/>
      <w:numFmt w:val="lowerLetter"/>
      <w:lvlText w:val="%5."/>
      <w:lvlJc w:val="left"/>
      <w:pPr>
        <w:ind w:left="3600" w:hanging="360"/>
      </w:pPr>
      <w:rPr>
        <w:rFonts w:cs="Times New Roman"/>
      </w:rPr>
    </w:lvl>
    <w:lvl w:ilvl="5" w:tplc="11AC68C2" w:tentative="1">
      <w:start w:val="1"/>
      <w:numFmt w:val="lowerRoman"/>
      <w:lvlText w:val="%6."/>
      <w:lvlJc w:val="right"/>
      <w:pPr>
        <w:ind w:left="4320" w:hanging="180"/>
      </w:pPr>
      <w:rPr>
        <w:rFonts w:cs="Times New Roman"/>
      </w:rPr>
    </w:lvl>
    <w:lvl w:ilvl="6" w:tplc="5DA62AA8" w:tentative="1">
      <w:start w:val="1"/>
      <w:numFmt w:val="decimal"/>
      <w:lvlText w:val="%7."/>
      <w:lvlJc w:val="left"/>
      <w:pPr>
        <w:ind w:left="5040" w:hanging="360"/>
      </w:pPr>
      <w:rPr>
        <w:rFonts w:cs="Times New Roman"/>
      </w:rPr>
    </w:lvl>
    <w:lvl w:ilvl="7" w:tplc="F99C65F4" w:tentative="1">
      <w:start w:val="1"/>
      <w:numFmt w:val="lowerLetter"/>
      <w:lvlText w:val="%8."/>
      <w:lvlJc w:val="left"/>
      <w:pPr>
        <w:ind w:left="5760" w:hanging="360"/>
      </w:pPr>
      <w:rPr>
        <w:rFonts w:cs="Times New Roman"/>
      </w:rPr>
    </w:lvl>
    <w:lvl w:ilvl="8" w:tplc="D94E1BAC" w:tentative="1">
      <w:start w:val="1"/>
      <w:numFmt w:val="lowerRoman"/>
      <w:lvlText w:val="%9."/>
      <w:lvlJc w:val="right"/>
      <w:pPr>
        <w:ind w:left="6480" w:hanging="180"/>
      </w:pPr>
      <w:rPr>
        <w:rFonts w:cs="Times New Roman"/>
      </w:rPr>
    </w:lvl>
  </w:abstractNum>
  <w:abstractNum w:abstractNumId="2" w15:restartNumberingAfterBreak="0">
    <w:nsid w:val="0862548B"/>
    <w:multiLevelType w:val="hybridMultilevel"/>
    <w:tmpl w:val="4CFCEDB4"/>
    <w:lvl w:ilvl="0" w:tplc="5B80C426">
      <w:start w:val="1"/>
      <w:numFmt w:val="bullet"/>
      <w:lvlText w:val=""/>
      <w:lvlJc w:val="left"/>
      <w:pPr>
        <w:ind w:left="2422" w:hanging="360"/>
      </w:pPr>
      <w:rPr>
        <w:rFonts w:ascii="Symbol" w:hAnsi="Symbol" w:hint="default"/>
      </w:rPr>
    </w:lvl>
    <w:lvl w:ilvl="1" w:tplc="956CFDA0">
      <w:start w:val="1"/>
      <w:numFmt w:val="bullet"/>
      <w:lvlText w:val="o"/>
      <w:lvlJc w:val="left"/>
      <w:pPr>
        <w:ind w:left="3142" w:hanging="360"/>
      </w:pPr>
      <w:rPr>
        <w:rFonts w:ascii="Courier New" w:hAnsi="Courier New" w:cs="Courier New" w:hint="default"/>
      </w:rPr>
    </w:lvl>
    <w:lvl w:ilvl="2" w:tplc="819E2D34" w:tentative="1">
      <w:start w:val="1"/>
      <w:numFmt w:val="bullet"/>
      <w:lvlText w:val=""/>
      <w:lvlJc w:val="left"/>
      <w:pPr>
        <w:ind w:left="3862" w:hanging="360"/>
      </w:pPr>
      <w:rPr>
        <w:rFonts w:ascii="Wingdings" w:hAnsi="Wingdings" w:hint="default"/>
      </w:rPr>
    </w:lvl>
    <w:lvl w:ilvl="3" w:tplc="A070941A" w:tentative="1">
      <w:start w:val="1"/>
      <w:numFmt w:val="bullet"/>
      <w:lvlText w:val=""/>
      <w:lvlJc w:val="left"/>
      <w:pPr>
        <w:ind w:left="4582" w:hanging="360"/>
      </w:pPr>
      <w:rPr>
        <w:rFonts w:ascii="Symbol" w:hAnsi="Symbol" w:hint="default"/>
      </w:rPr>
    </w:lvl>
    <w:lvl w:ilvl="4" w:tplc="43348420" w:tentative="1">
      <w:start w:val="1"/>
      <w:numFmt w:val="bullet"/>
      <w:lvlText w:val="o"/>
      <w:lvlJc w:val="left"/>
      <w:pPr>
        <w:ind w:left="5302" w:hanging="360"/>
      </w:pPr>
      <w:rPr>
        <w:rFonts w:ascii="Courier New" w:hAnsi="Courier New" w:cs="Courier New" w:hint="default"/>
      </w:rPr>
    </w:lvl>
    <w:lvl w:ilvl="5" w:tplc="51B047D2" w:tentative="1">
      <w:start w:val="1"/>
      <w:numFmt w:val="bullet"/>
      <w:lvlText w:val=""/>
      <w:lvlJc w:val="left"/>
      <w:pPr>
        <w:ind w:left="6022" w:hanging="360"/>
      </w:pPr>
      <w:rPr>
        <w:rFonts w:ascii="Wingdings" w:hAnsi="Wingdings" w:hint="default"/>
      </w:rPr>
    </w:lvl>
    <w:lvl w:ilvl="6" w:tplc="9FB8F292" w:tentative="1">
      <w:start w:val="1"/>
      <w:numFmt w:val="bullet"/>
      <w:lvlText w:val=""/>
      <w:lvlJc w:val="left"/>
      <w:pPr>
        <w:ind w:left="6742" w:hanging="360"/>
      </w:pPr>
      <w:rPr>
        <w:rFonts w:ascii="Symbol" w:hAnsi="Symbol" w:hint="default"/>
      </w:rPr>
    </w:lvl>
    <w:lvl w:ilvl="7" w:tplc="7016540C" w:tentative="1">
      <w:start w:val="1"/>
      <w:numFmt w:val="bullet"/>
      <w:lvlText w:val="o"/>
      <w:lvlJc w:val="left"/>
      <w:pPr>
        <w:ind w:left="7462" w:hanging="360"/>
      </w:pPr>
      <w:rPr>
        <w:rFonts w:ascii="Courier New" w:hAnsi="Courier New" w:cs="Courier New" w:hint="default"/>
      </w:rPr>
    </w:lvl>
    <w:lvl w:ilvl="8" w:tplc="B5A61A96" w:tentative="1">
      <w:start w:val="1"/>
      <w:numFmt w:val="bullet"/>
      <w:lvlText w:val=""/>
      <w:lvlJc w:val="left"/>
      <w:pPr>
        <w:ind w:left="8182" w:hanging="360"/>
      </w:pPr>
      <w:rPr>
        <w:rFonts w:ascii="Wingdings" w:hAnsi="Wingdings" w:hint="default"/>
      </w:rPr>
    </w:lvl>
  </w:abstractNum>
  <w:abstractNum w:abstractNumId="3" w15:restartNumberingAfterBreak="0">
    <w:nsid w:val="0A7F5F3E"/>
    <w:multiLevelType w:val="hybridMultilevel"/>
    <w:tmpl w:val="B89E3232"/>
    <w:lvl w:ilvl="0" w:tplc="173CD4F6">
      <w:start w:val="1"/>
      <w:numFmt w:val="bullet"/>
      <w:lvlText w:val=""/>
      <w:lvlJc w:val="left"/>
      <w:pPr>
        <w:tabs>
          <w:tab w:val="num" w:pos="720"/>
        </w:tabs>
        <w:ind w:left="720" w:hanging="360"/>
      </w:pPr>
      <w:rPr>
        <w:rFonts w:ascii="Symbol" w:hAnsi="Symbol" w:hint="default"/>
        <w:color w:val="auto"/>
      </w:rPr>
    </w:lvl>
    <w:lvl w:ilvl="1" w:tplc="839690D4">
      <w:numFmt w:val="bullet"/>
      <w:lvlText w:val="•"/>
      <w:lvlJc w:val="left"/>
      <w:pPr>
        <w:ind w:left="1800" w:hanging="720"/>
      </w:pPr>
      <w:rPr>
        <w:rFonts w:ascii="Arial" w:eastAsia="Times New Roman" w:hAnsi="Arial" w:cs="Arial" w:hint="default"/>
      </w:rPr>
    </w:lvl>
    <w:lvl w:ilvl="2" w:tplc="9AFC6552" w:tentative="1">
      <w:start w:val="1"/>
      <w:numFmt w:val="bullet"/>
      <w:lvlText w:val=""/>
      <w:lvlJc w:val="left"/>
      <w:pPr>
        <w:ind w:left="2160" w:hanging="360"/>
      </w:pPr>
      <w:rPr>
        <w:rFonts w:ascii="Wingdings" w:hAnsi="Wingdings" w:hint="default"/>
      </w:rPr>
    </w:lvl>
    <w:lvl w:ilvl="3" w:tplc="75FA99E8" w:tentative="1">
      <w:start w:val="1"/>
      <w:numFmt w:val="bullet"/>
      <w:lvlText w:val=""/>
      <w:lvlJc w:val="left"/>
      <w:pPr>
        <w:ind w:left="2880" w:hanging="360"/>
      </w:pPr>
      <w:rPr>
        <w:rFonts w:ascii="Symbol" w:hAnsi="Symbol" w:hint="default"/>
      </w:rPr>
    </w:lvl>
    <w:lvl w:ilvl="4" w:tplc="CF36DE48" w:tentative="1">
      <w:start w:val="1"/>
      <w:numFmt w:val="bullet"/>
      <w:lvlText w:val="o"/>
      <w:lvlJc w:val="left"/>
      <w:pPr>
        <w:ind w:left="3600" w:hanging="360"/>
      </w:pPr>
      <w:rPr>
        <w:rFonts w:ascii="Courier New" w:hAnsi="Courier New" w:cs="Courier New" w:hint="default"/>
      </w:rPr>
    </w:lvl>
    <w:lvl w:ilvl="5" w:tplc="196E13F0" w:tentative="1">
      <w:start w:val="1"/>
      <w:numFmt w:val="bullet"/>
      <w:lvlText w:val=""/>
      <w:lvlJc w:val="left"/>
      <w:pPr>
        <w:ind w:left="4320" w:hanging="360"/>
      </w:pPr>
      <w:rPr>
        <w:rFonts w:ascii="Wingdings" w:hAnsi="Wingdings" w:hint="default"/>
      </w:rPr>
    </w:lvl>
    <w:lvl w:ilvl="6" w:tplc="31E81FCE" w:tentative="1">
      <w:start w:val="1"/>
      <w:numFmt w:val="bullet"/>
      <w:lvlText w:val=""/>
      <w:lvlJc w:val="left"/>
      <w:pPr>
        <w:ind w:left="5040" w:hanging="360"/>
      </w:pPr>
      <w:rPr>
        <w:rFonts w:ascii="Symbol" w:hAnsi="Symbol" w:hint="default"/>
      </w:rPr>
    </w:lvl>
    <w:lvl w:ilvl="7" w:tplc="A4B0690A" w:tentative="1">
      <w:start w:val="1"/>
      <w:numFmt w:val="bullet"/>
      <w:lvlText w:val="o"/>
      <w:lvlJc w:val="left"/>
      <w:pPr>
        <w:ind w:left="5760" w:hanging="360"/>
      </w:pPr>
      <w:rPr>
        <w:rFonts w:ascii="Courier New" w:hAnsi="Courier New" w:cs="Courier New" w:hint="default"/>
      </w:rPr>
    </w:lvl>
    <w:lvl w:ilvl="8" w:tplc="45923DE0" w:tentative="1">
      <w:start w:val="1"/>
      <w:numFmt w:val="bullet"/>
      <w:lvlText w:val=""/>
      <w:lvlJc w:val="left"/>
      <w:pPr>
        <w:ind w:left="6480" w:hanging="360"/>
      </w:pPr>
      <w:rPr>
        <w:rFonts w:ascii="Wingdings" w:hAnsi="Wingdings" w:hint="default"/>
      </w:rPr>
    </w:lvl>
  </w:abstractNum>
  <w:abstractNum w:abstractNumId="4" w15:restartNumberingAfterBreak="0">
    <w:nsid w:val="0E6606B0"/>
    <w:multiLevelType w:val="hybridMultilevel"/>
    <w:tmpl w:val="58E84118"/>
    <w:lvl w:ilvl="0" w:tplc="04AE047A">
      <w:start w:val="1"/>
      <w:numFmt w:val="bullet"/>
      <w:lvlText w:val=""/>
      <w:lvlJc w:val="left"/>
      <w:pPr>
        <w:tabs>
          <w:tab w:val="num" w:pos="720"/>
        </w:tabs>
        <w:ind w:left="720" w:hanging="360"/>
      </w:pPr>
      <w:rPr>
        <w:rFonts w:ascii="Symbol" w:hAnsi="Symbol" w:hint="default"/>
        <w:color w:val="auto"/>
      </w:rPr>
    </w:lvl>
    <w:lvl w:ilvl="1" w:tplc="0FC66726">
      <w:start w:val="1"/>
      <w:numFmt w:val="bullet"/>
      <w:lvlText w:val="o"/>
      <w:lvlJc w:val="left"/>
      <w:pPr>
        <w:tabs>
          <w:tab w:val="num" w:pos="1440"/>
        </w:tabs>
        <w:ind w:left="1440" w:hanging="360"/>
      </w:pPr>
      <w:rPr>
        <w:rFonts w:ascii="Courier New" w:hAnsi="Courier New" w:hint="default"/>
      </w:rPr>
    </w:lvl>
    <w:lvl w:ilvl="2" w:tplc="B150F16A" w:tentative="1">
      <w:start w:val="1"/>
      <w:numFmt w:val="bullet"/>
      <w:lvlText w:val=""/>
      <w:lvlJc w:val="left"/>
      <w:pPr>
        <w:tabs>
          <w:tab w:val="num" w:pos="2160"/>
        </w:tabs>
        <w:ind w:left="2160" w:hanging="360"/>
      </w:pPr>
      <w:rPr>
        <w:rFonts w:ascii="Wingdings" w:hAnsi="Wingdings" w:hint="default"/>
      </w:rPr>
    </w:lvl>
    <w:lvl w:ilvl="3" w:tplc="F0E63EC8" w:tentative="1">
      <w:start w:val="1"/>
      <w:numFmt w:val="bullet"/>
      <w:lvlText w:val=""/>
      <w:lvlJc w:val="left"/>
      <w:pPr>
        <w:tabs>
          <w:tab w:val="num" w:pos="2880"/>
        </w:tabs>
        <w:ind w:left="2880" w:hanging="360"/>
      </w:pPr>
      <w:rPr>
        <w:rFonts w:ascii="Symbol" w:hAnsi="Symbol" w:hint="default"/>
      </w:rPr>
    </w:lvl>
    <w:lvl w:ilvl="4" w:tplc="DBFCE166" w:tentative="1">
      <w:start w:val="1"/>
      <w:numFmt w:val="bullet"/>
      <w:lvlText w:val="o"/>
      <w:lvlJc w:val="left"/>
      <w:pPr>
        <w:tabs>
          <w:tab w:val="num" w:pos="3600"/>
        </w:tabs>
        <w:ind w:left="3600" w:hanging="360"/>
      </w:pPr>
      <w:rPr>
        <w:rFonts w:ascii="Courier New" w:hAnsi="Courier New" w:hint="default"/>
      </w:rPr>
    </w:lvl>
    <w:lvl w:ilvl="5" w:tplc="80BAD9E0" w:tentative="1">
      <w:start w:val="1"/>
      <w:numFmt w:val="bullet"/>
      <w:lvlText w:val=""/>
      <w:lvlJc w:val="left"/>
      <w:pPr>
        <w:tabs>
          <w:tab w:val="num" w:pos="4320"/>
        </w:tabs>
        <w:ind w:left="4320" w:hanging="360"/>
      </w:pPr>
      <w:rPr>
        <w:rFonts w:ascii="Wingdings" w:hAnsi="Wingdings" w:hint="default"/>
      </w:rPr>
    </w:lvl>
    <w:lvl w:ilvl="6" w:tplc="EA903920" w:tentative="1">
      <w:start w:val="1"/>
      <w:numFmt w:val="bullet"/>
      <w:lvlText w:val=""/>
      <w:lvlJc w:val="left"/>
      <w:pPr>
        <w:tabs>
          <w:tab w:val="num" w:pos="5040"/>
        </w:tabs>
        <w:ind w:left="5040" w:hanging="360"/>
      </w:pPr>
      <w:rPr>
        <w:rFonts w:ascii="Symbol" w:hAnsi="Symbol" w:hint="default"/>
      </w:rPr>
    </w:lvl>
    <w:lvl w:ilvl="7" w:tplc="011E48D6" w:tentative="1">
      <w:start w:val="1"/>
      <w:numFmt w:val="bullet"/>
      <w:lvlText w:val="o"/>
      <w:lvlJc w:val="left"/>
      <w:pPr>
        <w:tabs>
          <w:tab w:val="num" w:pos="5760"/>
        </w:tabs>
        <w:ind w:left="5760" w:hanging="360"/>
      </w:pPr>
      <w:rPr>
        <w:rFonts w:ascii="Courier New" w:hAnsi="Courier New" w:hint="default"/>
      </w:rPr>
    </w:lvl>
    <w:lvl w:ilvl="8" w:tplc="B8DC6C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A7FFA"/>
    <w:multiLevelType w:val="hybridMultilevel"/>
    <w:tmpl w:val="59C8B2DE"/>
    <w:lvl w:ilvl="0" w:tplc="34389568">
      <w:start w:val="1"/>
      <w:numFmt w:val="bullet"/>
      <w:lvlText w:val="-"/>
      <w:lvlJc w:val="left"/>
      <w:pPr>
        <w:ind w:left="1440" w:hanging="360"/>
      </w:pPr>
      <w:rPr>
        <w:rFonts w:ascii="Courier New" w:hAnsi="Courier New" w:hint="default"/>
      </w:rPr>
    </w:lvl>
    <w:lvl w:ilvl="1" w:tplc="52BA05C4" w:tentative="1">
      <w:start w:val="1"/>
      <w:numFmt w:val="bullet"/>
      <w:lvlText w:val="o"/>
      <w:lvlJc w:val="left"/>
      <w:pPr>
        <w:ind w:left="2160" w:hanging="360"/>
      </w:pPr>
      <w:rPr>
        <w:rFonts w:ascii="Courier New" w:hAnsi="Courier New" w:hint="default"/>
      </w:rPr>
    </w:lvl>
    <w:lvl w:ilvl="2" w:tplc="9A8A2B5C" w:tentative="1">
      <w:start w:val="1"/>
      <w:numFmt w:val="bullet"/>
      <w:lvlText w:val=""/>
      <w:lvlJc w:val="left"/>
      <w:pPr>
        <w:ind w:left="2880" w:hanging="360"/>
      </w:pPr>
      <w:rPr>
        <w:rFonts w:ascii="Wingdings" w:hAnsi="Wingdings" w:hint="default"/>
      </w:rPr>
    </w:lvl>
    <w:lvl w:ilvl="3" w:tplc="C0864D5C" w:tentative="1">
      <w:start w:val="1"/>
      <w:numFmt w:val="bullet"/>
      <w:lvlText w:val=""/>
      <w:lvlJc w:val="left"/>
      <w:pPr>
        <w:ind w:left="3600" w:hanging="360"/>
      </w:pPr>
      <w:rPr>
        <w:rFonts w:ascii="Symbol" w:hAnsi="Symbol" w:hint="default"/>
      </w:rPr>
    </w:lvl>
    <w:lvl w:ilvl="4" w:tplc="2EE0B3CA" w:tentative="1">
      <w:start w:val="1"/>
      <w:numFmt w:val="bullet"/>
      <w:lvlText w:val="o"/>
      <w:lvlJc w:val="left"/>
      <w:pPr>
        <w:ind w:left="4320" w:hanging="360"/>
      </w:pPr>
      <w:rPr>
        <w:rFonts w:ascii="Courier New" w:hAnsi="Courier New" w:hint="default"/>
      </w:rPr>
    </w:lvl>
    <w:lvl w:ilvl="5" w:tplc="F6D29C54" w:tentative="1">
      <w:start w:val="1"/>
      <w:numFmt w:val="bullet"/>
      <w:lvlText w:val=""/>
      <w:lvlJc w:val="left"/>
      <w:pPr>
        <w:ind w:left="5040" w:hanging="360"/>
      </w:pPr>
      <w:rPr>
        <w:rFonts w:ascii="Wingdings" w:hAnsi="Wingdings" w:hint="default"/>
      </w:rPr>
    </w:lvl>
    <w:lvl w:ilvl="6" w:tplc="D4F2F4CC" w:tentative="1">
      <w:start w:val="1"/>
      <w:numFmt w:val="bullet"/>
      <w:lvlText w:val=""/>
      <w:lvlJc w:val="left"/>
      <w:pPr>
        <w:ind w:left="5760" w:hanging="360"/>
      </w:pPr>
      <w:rPr>
        <w:rFonts w:ascii="Symbol" w:hAnsi="Symbol" w:hint="default"/>
      </w:rPr>
    </w:lvl>
    <w:lvl w:ilvl="7" w:tplc="D5EE942C" w:tentative="1">
      <w:start w:val="1"/>
      <w:numFmt w:val="bullet"/>
      <w:lvlText w:val="o"/>
      <w:lvlJc w:val="left"/>
      <w:pPr>
        <w:ind w:left="6480" w:hanging="360"/>
      </w:pPr>
      <w:rPr>
        <w:rFonts w:ascii="Courier New" w:hAnsi="Courier New" w:hint="default"/>
      </w:rPr>
    </w:lvl>
    <w:lvl w:ilvl="8" w:tplc="BF0CD2F2" w:tentative="1">
      <w:start w:val="1"/>
      <w:numFmt w:val="bullet"/>
      <w:lvlText w:val=""/>
      <w:lvlJc w:val="left"/>
      <w:pPr>
        <w:ind w:left="7200" w:hanging="360"/>
      </w:pPr>
      <w:rPr>
        <w:rFonts w:ascii="Wingdings" w:hAnsi="Wingdings" w:hint="default"/>
      </w:rPr>
    </w:lvl>
  </w:abstractNum>
  <w:abstractNum w:abstractNumId="6" w15:restartNumberingAfterBreak="0">
    <w:nsid w:val="168B0E3C"/>
    <w:multiLevelType w:val="hybridMultilevel"/>
    <w:tmpl w:val="89DC3F02"/>
    <w:lvl w:ilvl="0" w:tplc="549C3F2C">
      <w:start w:val="1"/>
      <w:numFmt w:val="lowerLetter"/>
      <w:lvlText w:val="%1)"/>
      <w:lvlJc w:val="left"/>
      <w:pPr>
        <w:ind w:left="1800" w:hanging="360"/>
      </w:pPr>
      <w:rPr>
        <w:rFonts w:cs="Times New Roman" w:hint="default"/>
      </w:rPr>
    </w:lvl>
    <w:lvl w:ilvl="1" w:tplc="FE12A8E8" w:tentative="1">
      <w:start w:val="1"/>
      <w:numFmt w:val="lowerLetter"/>
      <w:lvlText w:val="%2."/>
      <w:lvlJc w:val="left"/>
      <w:pPr>
        <w:ind w:left="2520" w:hanging="360"/>
      </w:pPr>
    </w:lvl>
    <w:lvl w:ilvl="2" w:tplc="5AF4AC0A" w:tentative="1">
      <w:start w:val="1"/>
      <w:numFmt w:val="lowerRoman"/>
      <w:lvlText w:val="%3."/>
      <w:lvlJc w:val="right"/>
      <w:pPr>
        <w:ind w:left="3240" w:hanging="180"/>
      </w:pPr>
    </w:lvl>
    <w:lvl w:ilvl="3" w:tplc="72F0DB3C" w:tentative="1">
      <w:start w:val="1"/>
      <w:numFmt w:val="decimal"/>
      <w:lvlText w:val="%4."/>
      <w:lvlJc w:val="left"/>
      <w:pPr>
        <w:ind w:left="3960" w:hanging="360"/>
      </w:pPr>
    </w:lvl>
    <w:lvl w:ilvl="4" w:tplc="4394102A" w:tentative="1">
      <w:start w:val="1"/>
      <w:numFmt w:val="lowerLetter"/>
      <w:lvlText w:val="%5."/>
      <w:lvlJc w:val="left"/>
      <w:pPr>
        <w:ind w:left="4680" w:hanging="360"/>
      </w:pPr>
    </w:lvl>
    <w:lvl w:ilvl="5" w:tplc="6A547F46" w:tentative="1">
      <w:start w:val="1"/>
      <w:numFmt w:val="lowerRoman"/>
      <w:lvlText w:val="%6."/>
      <w:lvlJc w:val="right"/>
      <w:pPr>
        <w:ind w:left="5400" w:hanging="180"/>
      </w:pPr>
    </w:lvl>
    <w:lvl w:ilvl="6" w:tplc="18AE1E28" w:tentative="1">
      <w:start w:val="1"/>
      <w:numFmt w:val="decimal"/>
      <w:lvlText w:val="%7."/>
      <w:lvlJc w:val="left"/>
      <w:pPr>
        <w:ind w:left="6120" w:hanging="360"/>
      </w:pPr>
    </w:lvl>
    <w:lvl w:ilvl="7" w:tplc="3474D504" w:tentative="1">
      <w:start w:val="1"/>
      <w:numFmt w:val="lowerLetter"/>
      <w:lvlText w:val="%8."/>
      <w:lvlJc w:val="left"/>
      <w:pPr>
        <w:ind w:left="6840" w:hanging="360"/>
      </w:pPr>
    </w:lvl>
    <w:lvl w:ilvl="8" w:tplc="964C6B46" w:tentative="1">
      <w:start w:val="1"/>
      <w:numFmt w:val="lowerRoman"/>
      <w:lvlText w:val="%9."/>
      <w:lvlJc w:val="right"/>
      <w:pPr>
        <w:ind w:left="7560" w:hanging="180"/>
      </w:pPr>
    </w:lvl>
  </w:abstractNum>
  <w:abstractNum w:abstractNumId="7" w15:restartNumberingAfterBreak="0">
    <w:nsid w:val="19B1560A"/>
    <w:multiLevelType w:val="hybridMultilevel"/>
    <w:tmpl w:val="24C8854E"/>
    <w:lvl w:ilvl="0" w:tplc="0C9401D8">
      <w:start w:val="1"/>
      <w:numFmt w:val="bullet"/>
      <w:lvlText w:val=""/>
      <w:lvlJc w:val="left"/>
      <w:pPr>
        <w:ind w:left="720" w:hanging="360"/>
      </w:pPr>
      <w:rPr>
        <w:rFonts w:ascii="Symbol" w:hAnsi="Symbol" w:hint="default"/>
      </w:rPr>
    </w:lvl>
    <w:lvl w:ilvl="1" w:tplc="F828B110" w:tentative="1">
      <w:start w:val="1"/>
      <w:numFmt w:val="bullet"/>
      <w:lvlText w:val="o"/>
      <w:lvlJc w:val="left"/>
      <w:pPr>
        <w:ind w:left="1440" w:hanging="360"/>
      </w:pPr>
      <w:rPr>
        <w:rFonts w:ascii="Courier New" w:hAnsi="Courier New" w:hint="default"/>
      </w:rPr>
    </w:lvl>
    <w:lvl w:ilvl="2" w:tplc="4FAC136E" w:tentative="1">
      <w:start w:val="1"/>
      <w:numFmt w:val="bullet"/>
      <w:lvlText w:val=""/>
      <w:lvlJc w:val="left"/>
      <w:pPr>
        <w:ind w:left="2160" w:hanging="360"/>
      </w:pPr>
      <w:rPr>
        <w:rFonts w:ascii="Wingdings" w:hAnsi="Wingdings" w:hint="default"/>
      </w:rPr>
    </w:lvl>
    <w:lvl w:ilvl="3" w:tplc="DA4C1C46" w:tentative="1">
      <w:start w:val="1"/>
      <w:numFmt w:val="bullet"/>
      <w:lvlText w:val=""/>
      <w:lvlJc w:val="left"/>
      <w:pPr>
        <w:ind w:left="2880" w:hanging="360"/>
      </w:pPr>
      <w:rPr>
        <w:rFonts w:ascii="Symbol" w:hAnsi="Symbol" w:hint="default"/>
      </w:rPr>
    </w:lvl>
    <w:lvl w:ilvl="4" w:tplc="2B744F80" w:tentative="1">
      <w:start w:val="1"/>
      <w:numFmt w:val="bullet"/>
      <w:lvlText w:val="o"/>
      <w:lvlJc w:val="left"/>
      <w:pPr>
        <w:ind w:left="3600" w:hanging="360"/>
      </w:pPr>
      <w:rPr>
        <w:rFonts w:ascii="Courier New" w:hAnsi="Courier New" w:hint="default"/>
      </w:rPr>
    </w:lvl>
    <w:lvl w:ilvl="5" w:tplc="5866A27A" w:tentative="1">
      <w:start w:val="1"/>
      <w:numFmt w:val="bullet"/>
      <w:lvlText w:val=""/>
      <w:lvlJc w:val="left"/>
      <w:pPr>
        <w:ind w:left="4320" w:hanging="360"/>
      </w:pPr>
      <w:rPr>
        <w:rFonts w:ascii="Wingdings" w:hAnsi="Wingdings" w:hint="default"/>
      </w:rPr>
    </w:lvl>
    <w:lvl w:ilvl="6" w:tplc="A3D8FD36" w:tentative="1">
      <w:start w:val="1"/>
      <w:numFmt w:val="bullet"/>
      <w:lvlText w:val=""/>
      <w:lvlJc w:val="left"/>
      <w:pPr>
        <w:ind w:left="5040" w:hanging="360"/>
      </w:pPr>
      <w:rPr>
        <w:rFonts w:ascii="Symbol" w:hAnsi="Symbol" w:hint="default"/>
      </w:rPr>
    </w:lvl>
    <w:lvl w:ilvl="7" w:tplc="95A41AE0" w:tentative="1">
      <w:start w:val="1"/>
      <w:numFmt w:val="bullet"/>
      <w:lvlText w:val="o"/>
      <w:lvlJc w:val="left"/>
      <w:pPr>
        <w:ind w:left="5760" w:hanging="360"/>
      </w:pPr>
      <w:rPr>
        <w:rFonts w:ascii="Courier New" w:hAnsi="Courier New" w:hint="default"/>
      </w:rPr>
    </w:lvl>
    <w:lvl w:ilvl="8" w:tplc="814496DE" w:tentative="1">
      <w:start w:val="1"/>
      <w:numFmt w:val="bullet"/>
      <w:lvlText w:val=""/>
      <w:lvlJc w:val="left"/>
      <w:pPr>
        <w:ind w:left="6480" w:hanging="360"/>
      </w:pPr>
      <w:rPr>
        <w:rFonts w:ascii="Wingdings" w:hAnsi="Wingdings" w:hint="default"/>
      </w:rPr>
    </w:lvl>
  </w:abstractNum>
  <w:abstractNum w:abstractNumId="8" w15:restartNumberingAfterBreak="0">
    <w:nsid w:val="231A50B3"/>
    <w:multiLevelType w:val="hybridMultilevel"/>
    <w:tmpl w:val="2570ACBA"/>
    <w:lvl w:ilvl="0" w:tplc="84C88ABA">
      <w:start w:val="1"/>
      <w:numFmt w:val="bullet"/>
      <w:lvlText w:val=""/>
      <w:lvlJc w:val="left"/>
      <w:pPr>
        <w:tabs>
          <w:tab w:val="num" w:pos="644"/>
        </w:tabs>
        <w:ind w:left="644" w:hanging="360"/>
      </w:pPr>
      <w:rPr>
        <w:rFonts w:ascii="Symbol" w:hAnsi="Symbol" w:hint="default"/>
        <w:color w:val="auto"/>
      </w:rPr>
    </w:lvl>
    <w:lvl w:ilvl="1" w:tplc="AAC27BFA" w:tentative="1">
      <w:start w:val="1"/>
      <w:numFmt w:val="bullet"/>
      <w:lvlText w:val="o"/>
      <w:lvlJc w:val="left"/>
      <w:pPr>
        <w:tabs>
          <w:tab w:val="num" w:pos="1440"/>
        </w:tabs>
        <w:ind w:left="1440" w:hanging="360"/>
      </w:pPr>
      <w:rPr>
        <w:rFonts w:ascii="Courier New" w:hAnsi="Courier New" w:hint="default"/>
      </w:rPr>
    </w:lvl>
    <w:lvl w:ilvl="2" w:tplc="AC7698E4" w:tentative="1">
      <w:start w:val="1"/>
      <w:numFmt w:val="bullet"/>
      <w:lvlText w:val=""/>
      <w:lvlJc w:val="left"/>
      <w:pPr>
        <w:tabs>
          <w:tab w:val="num" w:pos="2160"/>
        </w:tabs>
        <w:ind w:left="2160" w:hanging="360"/>
      </w:pPr>
      <w:rPr>
        <w:rFonts w:ascii="Wingdings" w:hAnsi="Wingdings" w:hint="default"/>
      </w:rPr>
    </w:lvl>
    <w:lvl w:ilvl="3" w:tplc="07B64FD0" w:tentative="1">
      <w:start w:val="1"/>
      <w:numFmt w:val="bullet"/>
      <w:lvlText w:val=""/>
      <w:lvlJc w:val="left"/>
      <w:pPr>
        <w:tabs>
          <w:tab w:val="num" w:pos="2880"/>
        </w:tabs>
        <w:ind w:left="2880" w:hanging="360"/>
      </w:pPr>
      <w:rPr>
        <w:rFonts w:ascii="Symbol" w:hAnsi="Symbol" w:hint="default"/>
      </w:rPr>
    </w:lvl>
    <w:lvl w:ilvl="4" w:tplc="3A58C9E6" w:tentative="1">
      <w:start w:val="1"/>
      <w:numFmt w:val="bullet"/>
      <w:lvlText w:val="o"/>
      <w:lvlJc w:val="left"/>
      <w:pPr>
        <w:tabs>
          <w:tab w:val="num" w:pos="3600"/>
        </w:tabs>
        <w:ind w:left="3600" w:hanging="360"/>
      </w:pPr>
      <w:rPr>
        <w:rFonts w:ascii="Courier New" w:hAnsi="Courier New" w:hint="default"/>
      </w:rPr>
    </w:lvl>
    <w:lvl w:ilvl="5" w:tplc="0C8A67D0" w:tentative="1">
      <w:start w:val="1"/>
      <w:numFmt w:val="bullet"/>
      <w:lvlText w:val=""/>
      <w:lvlJc w:val="left"/>
      <w:pPr>
        <w:tabs>
          <w:tab w:val="num" w:pos="4320"/>
        </w:tabs>
        <w:ind w:left="4320" w:hanging="360"/>
      </w:pPr>
      <w:rPr>
        <w:rFonts w:ascii="Wingdings" w:hAnsi="Wingdings" w:hint="default"/>
      </w:rPr>
    </w:lvl>
    <w:lvl w:ilvl="6" w:tplc="07D82A42" w:tentative="1">
      <w:start w:val="1"/>
      <w:numFmt w:val="bullet"/>
      <w:lvlText w:val=""/>
      <w:lvlJc w:val="left"/>
      <w:pPr>
        <w:tabs>
          <w:tab w:val="num" w:pos="5040"/>
        </w:tabs>
        <w:ind w:left="5040" w:hanging="360"/>
      </w:pPr>
      <w:rPr>
        <w:rFonts w:ascii="Symbol" w:hAnsi="Symbol" w:hint="default"/>
      </w:rPr>
    </w:lvl>
    <w:lvl w:ilvl="7" w:tplc="759C8166" w:tentative="1">
      <w:start w:val="1"/>
      <w:numFmt w:val="bullet"/>
      <w:lvlText w:val="o"/>
      <w:lvlJc w:val="left"/>
      <w:pPr>
        <w:tabs>
          <w:tab w:val="num" w:pos="5760"/>
        </w:tabs>
        <w:ind w:left="5760" w:hanging="360"/>
      </w:pPr>
      <w:rPr>
        <w:rFonts w:ascii="Courier New" w:hAnsi="Courier New" w:hint="default"/>
      </w:rPr>
    </w:lvl>
    <w:lvl w:ilvl="8" w:tplc="9A38D9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57940"/>
    <w:multiLevelType w:val="hybridMultilevel"/>
    <w:tmpl w:val="D6B476CA"/>
    <w:lvl w:ilvl="0" w:tplc="3CDAE9E2">
      <w:start w:val="1"/>
      <w:numFmt w:val="bullet"/>
      <w:lvlText w:val=""/>
      <w:lvlJc w:val="left"/>
      <w:pPr>
        <w:ind w:left="720" w:hanging="360"/>
      </w:pPr>
      <w:rPr>
        <w:rFonts w:ascii="Symbol" w:hAnsi="Symbol" w:hint="default"/>
      </w:rPr>
    </w:lvl>
    <w:lvl w:ilvl="1" w:tplc="1BC844D6">
      <w:start w:val="1"/>
      <w:numFmt w:val="bullet"/>
      <w:lvlText w:val="o"/>
      <w:lvlJc w:val="left"/>
      <w:pPr>
        <w:ind w:left="1440" w:hanging="360"/>
      </w:pPr>
      <w:rPr>
        <w:rFonts w:ascii="Courier New" w:hAnsi="Courier New" w:cs="Courier New" w:hint="default"/>
      </w:rPr>
    </w:lvl>
    <w:lvl w:ilvl="2" w:tplc="5478F048" w:tentative="1">
      <w:start w:val="1"/>
      <w:numFmt w:val="bullet"/>
      <w:lvlText w:val=""/>
      <w:lvlJc w:val="left"/>
      <w:pPr>
        <w:ind w:left="2160" w:hanging="360"/>
      </w:pPr>
      <w:rPr>
        <w:rFonts w:ascii="Wingdings" w:hAnsi="Wingdings" w:hint="default"/>
      </w:rPr>
    </w:lvl>
    <w:lvl w:ilvl="3" w:tplc="A1B884F8" w:tentative="1">
      <w:start w:val="1"/>
      <w:numFmt w:val="bullet"/>
      <w:lvlText w:val=""/>
      <w:lvlJc w:val="left"/>
      <w:pPr>
        <w:ind w:left="2880" w:hanging="360"/>
      </w:pPr>
      <w:rPr>
        <w:rFonts w:ascii="Symbol" w:hAnsi="Symbol" w:hint="default"/>
      </w:rPr>
    </w:lvl>
    <w:lvl w:ilvl="4" w:tplc="AF889A0C" w:tentative="1">
      <w:start w:val="1"/>
      <w:numFmt w:val="bullet"/>
      <w:lvlText w:val="o"/>
      <w:lvlJc w:val="left"/>
      <w:pPr>
        <w:ind w:left="3600" w:hanging="360"/>
      </w:pPr>
      <w:rPr>
        <w:rFonts w:ascii="Courier New" w:hAnsi="Courier New" w:cs="Courier New" w:hint="default"/>
      </w:rPr>
    </w:lvl>
    <w:lvl w:ilvl="5" w:tplc="23D4EC94" w:tentative="1">
      <w:start w:val="1"/>
      <w:numFmt w:val="bullet"/>
      <w:lvlText w:val=""/>
      <w:lvlJc w:val="left"/>
      <w:pPr>
        <w:ind w:left="4320" w:hanging="360"/>
      </w:pPr>
      <w:rPr>
        <w:rFonts w:ascii="Wingdings" w:hAnsi="Wingdings" w:hint="default"/>
      </w:rPr>
    </w:lvl>
    <w:lvl w:ilvl="6" w:tplc="901ADBF0" w:tentative="1">
      <w:start w:val="1"/>
      <w:numFmt w:val="bullet"/>
      <w:lvlText w:val=""/>
      <w:lvlJc w:val="left"/>
      <w:pPr>
        <w:ind w:left="5040" w:hanging="360"/>
      </w:pPr>
      <w:rPr>
        <w:rFonts w:ascii="Symbol" w:hAnsi="Symbol" w:hint="default"/>
      </w:rPr>
    </w:lvl>
    <w:lvl w:ilvl="7" w:tplc="0DB88A90" w:tentative="1">
      <w:start w:val="1"/>
      <w:numFmt w:val="bullet"/>
      <w:lvlText w:val="o"/>
      <w:lvlJc w:val="left"/>
      <w:pPr>
        <w:ind w:left="5760" w:hanging="360"/>
      </w:pPr>
      <w:rPr>
        <w:rFonts w:ascii="Courier New" w:hAnsi="Courier New" w:cs="Courier New" w:hint="default"/>
      </w:rPr>
    </w:lvl>
    <w:lvl w:ilvl="8" w:tplc="5F20E558" w:tentative="1">
      <w:start w:val="1"/>
      <w:numFmt w:val="bullet"/>
      <w:lvlText w:val=""/>
      <w:lvlJc w:val="left"/>
      <w:pPr>
        <w:ind w:left="6480" w:hanging="360"/>
      </w:pPr>
      <w:rPr>
        <w:rFonts w:ascii="Wingdings" w:hAnsi="Wingdings" w:hint="default"/>
      </w:rPr>
    </w:lvl>
  </w:abstractNum>
  <w:abstractNum w:abstractNumId="10" w15:restartNumberingAfterBreak="0">
    <w:nsid w:val="30EA47A0"/>
    <w:multiLevelType w:val="multilevel"/>
    <w:tmpl w:val="15361C90"/>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39E724C2"/>
    <w:multiLevelType w:val="hybridMultilevel"/>
    <w:tmpl w:val="9FD2D76C"/>
    <w:lvl w:ilvl="0" w:tplc="1A20C6C2">
      <w:start w:val="1"/>
      <w:numFmt w:val="lowerLetter"/>
      <w:lvlText w:val="%1)"/>
      <w:lvlJc w:val="left"/>
      <w:pPr>
        <w:ind w:left="720" w:hanging="360"/>
      </w:pPr>
      <w:rPr>
        <w:rFonts w:cs="Times New Roman" w:hint="default"/>
      </w:rPr>
    </w:lvl>
    <w:lvl w:ilvl="1" w:tplc="8F1A4790">
      <w:start w:val="1"/>
      <w:numFmt w:val="lowerLetter"/>
      <w:lvlText w:val="(%2)"/>
      <w:lvlJc w:val="left"/>
      <w:pPr>
        <w:ind w:left="1545" w:hanging="465"/>
      </w:pPr>
      <w:rPr>
        <w:rFonts w:hint="default"/>
      </w:rPr>
    </w:lvl>
    <w:lvl w:ilvl="2" w:tplc="CB4A4C32" w:tentative="1">
      <w:start w:val="1"/>
      <w:numFmt w:val="lowerRoman"/>
      <w:lvlText w:val="%3."/>
      <w:lvlJc w:val="right"/>
      <w:pPr>
        <w:ind w:left="2160" w:hanging="180"/>
      </w:pPr>
      <w:rPr>
        <w:rFonts w:cs="Times New Roman"/>
      </w:rPr>
    </w:lvl>
    <w:lvl w:ilvl="3" w:tplc="A3161C62" w:tentative="1">
      <w:start w:val="1"/>
      <w:numFmt w:val="decimal"/>
      <w:lvlText w:val="%4."/>
      <w:lvlJc w:val="left"/>
      <w:pPr>
        <w:ind w:left="2880" w:hanging="360"/>
      </w:pPr>
      <w:rPr>
        <w:rFonts w:cs="Times New Roman"/>
      </w:rPr>
    </w:lvl>
    <w:lvl w:ilvl="4" w:tplc="23305B86" w:tentative="1">
      <w:start w:val="1"/>
      <w:numFmt w:val="lowerLetter"/>
      <w:lvlText w:val="%5."/>
      <w:lvlJc w:val="left"/>
      <w:pPr>
        <w:ind w:left="3600" w:hanging="360"/>
      </w:pPr>
      <w:rPr>
        <w:rFonts w:cs="Times New Roman"/>
      </w:rPr>
    </w:lvl>
    <w:lvl w:ilvl="5" w:tplc="C074B30C" w:tentative="1">
      <w:start w:val="1"/>
      <w:numFmt w:val="lowerRoman"/>
      <w:lvlText w:val="%6."/>
      <w:lvlJc w:val="right"/>
      <w:pPr>
        <w:ind w:left="4320" w:hanging="180"/>
      </w:pPr>
      <w:rPr>
        <w:rFonts w:cs="Times New Roman"/>
      </w:rPr>
    </w:lvl>
    <w:lvl w:ilvl="6" w:tplc="62CE040C" w:tentative="1">
      <w:start w:val="1"/>
      <w:numFmt w:val="decimal"/>
      <w:lvlText w:val="%7."/>
      <w:lvlJc w:val="left"/>
      <w:pPr>
        <w:ind w:left="5040" w:hanging="360"/>
      </w:pPr>
      <w:rPr>
        <w:rFonts w:cs="Times New Roman"/>
      </w:rPr>
    </w:lvl>
    <w:lvl w:ilvl="7" w:tplc="A3C8BA2A" w:tentative="1">
      <w:start w:val="1"/>
      <w:numFmt w:val="lowerLetter"/>
      <w:lvlText w:val="%8."/>
      <w:lvlJc w:val="left"/>
      <w:pPr>
        <w:ind w:left="5760" w:hanging="360"/>
      </w:pPr>
      <w:rPr>
        <w:rFonts w:cs="Times New Roman"/>
      </w:rPr>
    </w:lvl>
    <w:lvl w:ilvl="8" w:tplc="7A2C6BC2" w:tentative="1">
      <w:start w:val="1"/>
      <w:numFmt w:val="lowerRoman"/>
      <w:lvlText w:val="%9."/>
      <w:lvlJc w:val="right"/>
      <w:pPr>
        <w:ind w:left="6480" w:hanging="180"/>
      </w:pPr>
      <w:rPr>
        <w:rFonts w:cs="Times New Roman"/>
      </w:rPr>
    </w:lvl>
  </w:abstractNum>
  <w:abstractNum w:abstractNumId="12" w15:restartNumberingAfterBreak="0">
    <w:nsid w:val="3AB73280"/>
    <w:multiLevelType w:val="hybridMultilevel"/>
    <w:tmpl w:val="9ABA5EE4"/>
    <w:lvl w:ilvl="0" w:tplc="6CA21A4E">
      <w:start w:val="1"/>
      <w:numFmt w:val="bullet"/>
      <w:lvlText w:val="-"/>
      <w:lvlJc w:val="left"/>
      <w:pPr>
        <w:ind w:left="1440" w:hanging="360"/>
      </w:pPr>
      <w:rPr>
        <w:rFonts w:ascii="Courier New" w:hAnsi="Courier New" w:hint="default"/>
      </w:rPr>
    </w:lvl>
    <w:lvl w:ilvl="1" w:tplc="643608EC" w:tentative="1">
      <w:start w:val="1"/>
      <w:numFmt w:val="bullet"/>
      <w:lvlText w:val="o"/>
      <w:lvlJc w:val="left"/>
      <w:pPr>
        <w:ind w:left="2160" w:hanging="360"/>
      </w:pPr>
      <w:rPr>
        <w:rFonts w:ascii="Courier New" w:hAnsi="Courier New" w:hint="default"/>
      </w:rPr>
    </w:lvl>
    <w:lvl w:ilvl="2" w:tplc="C5F6EB36" w:tentative="1">
      <w:start w:val="1"/>
      <w:numFmt w:val="bullet"/>
      <w:lvlText w:val=""/>
      <w:lvlJc w:val="left"/>
      <w:pPr>
        <w:ind w:left="2880" w:hanging="360"/>
      </w:pPr>
      <w:rPr>
        <w:rFonts w:ascii="Wingdings" w:hAnsi="Wingdings" w:hint="default"/>
      </w:rPr>
    </w:lvl>
    <w:lvl w:ilvl="3" w:tplc="0EC04354" w:tentative="1">
      <w:start w:val="1"/>
      <w:numFmt w:val="bullet"/>
      <w:lvlText w:val=""/>
      <w:lvlJc w:val="left"/>
      <w:pPr>
        <w:ind w:left="3600" w:hanging="360"/>
      </w:pPr>
      <w:rPr>
        <w:rFonts w:ascii="Symbol" w:hAnsi="Symbol" w:hint="default"/>
      </w:rPr>
    </w:lvl>
    <w:lvl w:ilvl="4" w:tplc="6D54B082" w:tentative="1">
      <w:start w:val="1"/>
      <w:numFmt w:val="bullet"/>
      <w:lvlText w:val="o"/>
      <w:lvlJc w:val="left"/>
      <w:pPr>
        <w:ind w:left="4320" w:hanging="360"/>
      </w:pPr>
      <w:rPr>
        <w:rFonts w:ascii="Courier New" w:hAnsi="Courier New" w:hint="default"/>
      </w:rPr>
    </w:lvl>
    <w:lvl w:ilvl="5" w:tplc="1742C712" w:tentative="1">
      <w:start w:val="1"/>
      <w:numFmt w:val="bullet"/>
      <w:lvlText w:val=""/>
      <w:lvlJc w:val="left"/>
      <w:pPr>
        <w:ind w:left="5040" w:hanging="360"/>
      </w:pPr>
      <w:rPr>
        <w:rFonts w:ascii="Wingdings" w:hAnsi="Wingdings" w:hint="default"/>
      </w:rPr>
    </w:lvl>
    <w:lvl w:ilvl="6" w:tplc="7FE61010" w:tentative="1">
      <w:start w:val="1"/>
      <w:numFmt w:val="bullet"/>
      <w:lvlText w:val=""/>
      <w:lvlJc w:val="left"/>
      <w:pPr>
        <w:ind w:left="5760" w:hanging="360"/>
      </w:pPr>
      <w:rPr>
        <w:rFonts w:ascii="Symbol" w:hAnsi="Symbol" w:hint="default"/>
      </w:rPr>
    </w:lvl>
    <w:lvl w:ilvl="7" w:tplc="9B9081F8" w:tentative="1">
      <w:start w:val="1"/>
      <w:numFmt w:val="bullet"/>
      <w:lvlText w:val="o"/>
      <w:lvlJc w:val="left"/>
      <w:pPr>
        <w:ind w:left="6480" w:hanging="360"/>
      </w:pPr>
      <w:rPr>
        <w:rFonts w:ascii="Courier New" w:hAnsi="Courier New" w:hint="default"/>
      </w:rPr>
    </w:lvl>
    <w:lvl w:ilvl="8" w:tplc="8D02E7B6" w:tentative="1">
      <w:start w:val="1"/>
      <w:numFmt w:val="bullet"/>
      <w:lvlText w:val=""/>
      <w:lvlJc w:val="left"/>
      <w:pPr>
        <w:ind w:left="7200" w:hanging="360"/>
      </w:pPr>
      <w:rPr>
        <w:rFonts w:ascii="Wingdings" w:hAnsi="Wingdings" w:hint="default"/>
      </w:rPr>
    </w:lvl>
  </w:abstractNum>
  <w:abstractNum w:abstractNumId="13" w15:restartNumberingAfterBreak="0">
    <w:nsid w:val="3AC71D95"/>
    <w:multiLevelType w:val="hybridMultilevel"/>
    <w:tmpl w:val="35F080EC"/>
    <w:lvl w:ilvl="0" w:tplc="A8A0B18E">
      <w:start w:val="1"/>
      <w:numFmt w:val="bullet"/>
      <w:lvlText w:val=""/>
      <w:lvlJc w:val="left"/>
      <w:pPr>
        <w:ind w:left="720" w:hanging="360"/>
      </w:pPr>
      <w:rPr>
        <w:rFonts w:ascii="Symbol" w:hAnsi="Symbol" w:hint="default"/>
      </w:rPr>
    </w:lvl>
    <w:lvl w:ilvl="1" w:tplc="3BE42502">
      <w:start w:val="1"/>
      <w:numFmt w:val="bullet"/>
      <w:lvlText w:val="o"/>
      <w:lvlJc w:val="left"/>
      <w:pPr>
        <w:ind w:left="1440" w:hanging="360"/>
      </w:pPr>
      <w:rPr>
        <w:rFonts w:ascii="Courier New" w:hAnsi="Courier New" w:cs="Courier New" w:hint="default"/>
      </w:rPr>
    </w:lvl>
    <w:lvl w:ilvl="2" w:tplc="12A8067A" w:tentative="1">
      <w:start w:val="1"/>
      <w:numFmt w:val="bullet"/>
      <w:lvlText w:val=""/>
      <w:lvlJc w:val="left"/>
      <w:pPr>
        <w:ind w:left="2160" w:hanging="360"/>
      </w:pPr>
      <w:rPr>
        <w:rFonts w:ascii="Wingdings" w:hAnsi="Wingdings" w:hint="default"/>
      </w:rPr>
    </w:lvl>
    <w:lvl w:ilvl="3" w:tplc="CA5A662A" w:tentative="1">
      <w:start w:val="1"/>
      <w:numFmt w:val="bullet"/>
      <w:lvlText w:val=""/>
      <w:lvlJc w:val="left"/>
      <w:pPr>
        <w:ind w:left="2880" w:hanging="360"/>
      </w:pPr>
      <w:rPr>
        <w:rFonts w:ascii="Symbol" w:hAnsi="Symbol" w:hint="default"/>
      </w:rPr>
    </w:lvl>
    <w:lvl w:ilvl="4" w:tplc="F8683826" w:tentative="1">
      <w:start w:val="1"/>
      <w:numFmt w:val="bullet"/>
      <w:lvlText w:val="o"/>
      <w:lvlJc w:val="left"/>
      <w:pPr>
        <w:ind w:left="3600" w:hanging="360"/>
      </w:pPr>
      <w:rPr>
        <w:rFonts w:ascii="Courier New" w:hAnsi="Courier New" w:cs="Courier New" w:hint="default"/>
      </w:rPr>
    </w:lvl>
    <w:lvl w:ilvl="5" w:tplc="51E05AB0" w:tentative="1">
      <w:start w:val="1"/>
      <w:numFmt w:val="bullet"/>
      <w:lvlText w:val=""/>
      <w:lvlJc w:val="left"/>
      <w:pPr>
        <w:ind w:left="4320" w:hanging="360"/>
      </w:pPr>
      <w:rPr>
        <w:rFonts w:ascii="Wingdings" w:hAnsi="Wingdings" w:hint="default"/>
      </w:rPr>
    </w:lvl>
    <w:lvl w:ilvl="6" w:tplc="91FE2B76" w:tentative="1">
      <w:start w:val="1"/>
      <w:numFmt w:val="bullet"/>
      <w:lvlText w:val=""/>
      <w:lvlJc w:val="left"/>
      <w:pPr>
        <w:ind w:left="5040" w:hanging="360"/>
      </w:pPr>
      <w:rPr>
        <w:rFonts w:ascii="Symbol" w:hAnsi="Symbol" w:hint="default"/>
      </w:rPr>
    </w:lvl>
    <w:lvl w:ilvl="7" w:tplc="C39851D6" w:tentative="1">
      <w:start w:val="1"/>
      <w:numFmt w:val="bullet"/>
      <w:lvlText w:val="o"/>
      <w:lvlJc w:val="left"/>
      <w:pPr>
        <w:ind w:left="5760" w:hanging="360"/>
      </w:pPr>
      <w:rPr>
        <w:rFonts w:ascii="Courier New" w:hAnsi="Courier New" w:cs="Courier New" w:hint="default"/>
      </w:rPr>
    </w:lvl>
    <w:lvl w:ilvl="8" w:tplc="F0F0D3D4" w:tentative="1">
      <w:start w:val="1"/>
      <w:numFmt w:val="bullet"/>
      <w:lvlText w:val=""/>
      <w:lvlJc w:val="left"/>
      <w:pPr>
        <w:ind w:left="6480" w:hanging="360"/>
      </w:pPr>
      <w:rPr>
        <w:rFonts w:ascii="Wingdings" w:hAnsi="Wingdings" w:hint="default"/>
      </w:rPr>
    </w:lvl>
  </w:abstractNum>
  <w:abstractNum w:abstractNumId="14" w15:restartNumberingAfterBreak="0">
    <w:nsid w:val="3EBC6A3C"/>
    <w:multiLevelType w:val="hybridMultilevel"/>
    <w:tmpl w:val="AF7465D0"/>
    <w:lvl w:ilvl="0" w:tplc="69EAA25C">
      <w:start w:val="1"/>
      <w:numFmt w:val="bullet"/>
      <w:lvlText w:val=""/>
      <w:lvlJc w:val="left"/>
      <w:pPr>
        <w:ind w:left="720" w:hanging="360"/>
      </w:pPr>
      <w:rPr>
        <w:rFonts w:ascii="Symbol" w:hAnsi="Symbol" w:hint="default"/>
      </w:rPr>
    </w:lvl>
    <w:lvl w:ilvl="1" w:tplc="4132A534" w:tentative="1">
      <w:start w:val="1"/>
      <w:numFmt w:val="bullet"/>
      <w:lvlText w:val="o"/>
      <w:lvlJc w:val="left"/>
      <w:pPr>
        <w:ind w:left="1440" w:hanging="360"/>
      </w:pPr>
      <w:rPr>
        <w:rFonts w:ascii="Courier New" w:hAnsi="Courier New" w:hint="default"/>
      </w:rPr>
    </w:lvl>
    <w:lvl w:ilvl="2" w:tplc="3FFE5A6E" w:tentative="1">
      <w:start w:val="1"/>
      <w:numFmt w:val="bullet"/>
      <w:lvlText w:val=""/>
      <w:lvlJc w:val="left"/>
      <w:pPr>
        <w:ind w:left="2160" w:hanging="360"/>
      </w:pPr>
      <w:rPr>
        <w:rFonts w:ascii="Wingdings" w:hAnsi="Wingdings" w:hint="default"/>
      </w:rPr>
    </w:lvl>
    <w:lvl w:ilvl="3" w:tplc="BDF88AE6" w:tentative="1">
      <w:start w:val="1"/>
      <w:numFmt w:val="bullet"/>
      <w:lvlText w:val=""/>
      <w:lvlJc w:val="left"/>
      <w:pPr>
        <w:ind w:left="2880" w:hanging="360"/>
      </w:pPr>
      <w:rPr>
        <w:rFonts w:ascii="Symbol" w:hAnsi="Symbol" w:hint="default"/>
      </w:rPr>
    </w:lvl>
    <w:lvl w:ilvl="4" w:tplc="04AA62DA" w:tentative="1">
      <w:start w:val="1"/>
      <w:numFmt w:val="bullet"/>
      <w:lvlText w:val="o"/>
      <w:lvlJc w:val="left"/>
      <w:pPr>
        <w:ind w:left="3600" w:hanging="360"/>
      </w:pPr>
      <w:rPr>
        <w:rFonts w:ascii="Courier New" w:hAnsi="Courier New" w:hint="default"/>
      </w:rPr>
    </w:lvl>
    <w:lvl w:ilvl="5" w:tplc="BA0291A2" w:tentative="1">
      <w:start w:val="1"/>
      <w:numFmt w:val="bullet"/>
      <w:lvlText w:val=""/>
      <w:lvlJc w:val="left"/>
      <w:pPr>
        <w:ind w:left="4320" w:hanging="360"/>
      </w:pPr>
      <w:rPr>
        <w:rFonts w:ascii="Wingdings" w:hAnsi="Wingdings" w:hint="default"/>
      </w:rPr>
    </w:lvl>
    <w:lvl w:ilvl="6" w:tplc="5680090E" w:tentative="1">
      <w:start w:val="1"/>
      <w:numFmt w:val="bullet"/>
      <w:lvlText w:val=""/>
      <w:lvlJc w:val="left"/>
      <w:pPr>
        <w:ind w:left="5040" w:hanging="360"/>
      </w:pPr>
      <w:rPr>
        <w:rFonts w:ascii="Symbol" w:hAnsi="Symbol" w:hint="default"/>
      </w:rPr>
    </w:lvl>
    <w:lvl w:ilvl="7" w:tplc="D226B968" w:tentative="1">
      <w:start w:val="1"/>
      <w:numFmt w:val="bullet"/>
      <w:lvlText w:val="o"/>
      <w:lvlJc w:val="left"/>
      <w:pPr>
        <w:ind w:left="5760" w:hanging="360"/>
      </w:pPr>
      <w:rPr>
        <w:rFonts w:ascii="Courier New" w:hAnsi="Courier New" w:hint="default"/>
      </w:rPr>
    </w:lvl>
    <w:lvl w:ilvl="8" w:tplc="796239C8" w:tentative="1">
      <w:start w:val="1"/>
      <w:numFmt w:val="bullet"/>
      <w:lvlText w:val=""/>
      <w:lvlJc w:val="left"/>
      <w:pPr>
        <w:ind w:left="6480" w:hanging="360"/>
      </w:pPr>
      <w:rPr>
        <w:rFonts w:ascii="Wingdings" w:hAnsi="Wingdings" w:hint="default"/>
      </w:rPr>
    </w:lvl>
  </w:abstractNum>
  <w:abstractNum w:abstractNumId="15" w15:restartNumberingAfterBreak="0">
    <w:nsid w:val="40CE5F6B"/>
    <w:multiLevelType w:val="hybridMultilevel"/>
    <w:tmpl w:val="0C3827D6"/>
    <w:lvl w:ilvl="0" w:tplc="BD424178">
      <w:start w:val="1"/>
      <w:numFmt w:val="lowerLetter"/>
      <w:lvlText w:val="%1)"/>
      <w:lvlJc w:val="left"/>
      <w:pPr>
        <w:ind w:left="720" w:hanging="360"/>
      </w:pPr>
      <w:rPr>
        <w:rFonts w:cs="Times New Roman" w:hint="default"/>
      </w:rPr>
    </w:lvl>
    <w:lvl w:ilvl="1" w:tplc="E7148CB0" w:tentative="1">
      <w:start w:val="1"/>
      <w:numFmt w:val="lowerLetter"/>
      <w:lvlText w:val="%2."/>
      <w:lvlJc w:val="left"/>
      <w:pPr>
        <w:ind w:left="1440" w:hanging="360"/>
      </w:pPr>
      <w:rPr>
        <w:rFonts w:cs="Times New Roman"/>
      </w:rPr>
    </w:lvl>
    <w:lvl w:ilvl="2" w:tplc="E2C8B44C" w:tentative="1">
      <w:start w:val="1"/>
      <w:numFmt w:val="lowerRoman"/>
      <w:lvlText w:val="%3."/>
      <w:lvlJc w:val="right"/>
      <w:pPr>
        <w:ind w:left="2160" w:hanging="180"/>
      </w:pPr>
      <w:rPr>
        <w:rFonts w:cs="Times New Roman"/>
      </w:rPr>
    </w:lvl>
    <w:lvl w:ilvl="3" w:tplc="52806884" w:tentative="1">
      <w:start w:val="1"/>
      <w:numFmt w:val="decimal"/>
      <w:lvlText w:val="%4."/>
      <w:lvlJc w:val="left"/>
      <w:pPr>
        <w:ind w:left="2880" w:hanging="360"/>
      </w:pPr>
      <w:rPr>
        <w:rFonts w:cs="Times New Roman"/>
      </w:rPr>
    </w:lvl>
    <w:lvl w:ilvl="4" w:tplc="F2C2C68C" w:tentative="1">
      <w:start w:val="1"/>
      <w:numFmt w:val="lowerLetter"/>
      <w:lvlText w:val="%5."/>
      <w:lvlJc w:val="left"/>
      <w:pPr>
        <w:ind w:left="3600" w:hanging="360"/>
      </w:pPr>
      <w:rPr>
        <w:rFonts w:cs="Times New Roman"/>
      </w:rPr>
    </w:lvl>
    <w:lvl w:ilvl="5" w:tplc="8984FBC8" w:tentative="1">
      <w:start w:val="1"/>
      <w:numFmt w:val="lowerRoman"/>
      <w:lvlText w:val="%6."/>
      <w:lvlJc w:val="right"/>
      <w:pPr>
        <w:ind w:left="4320" w:hanging="180"/>
      </w:pPr>
      <w:rPr>
        <w:rFonts w:cs="Times New Roman"/>
      </w:rPr>
    </w:lvl>
    <w:lvl w:ilvl="6" w:tplc="CFCC58D6" w:tentative="1">
      <w:start w:val="1"/>
      <w:numFmt w:val="decimal"/>
      <w:lvlText w:val="%7."/>
      <w:lvlJc w:val="left"/>
      <w:pPr>
        <w:ind w:left="5040" w:hanging="360"/>
      </w:pPr>
      <w:rPr>
        <w:rFonts w:cs="Times New Roman"/>
      </w:rPr>
    </w:lvl>
    <w:lvl w:ilvl="7" w:tplc="85243710" w:tentative="1">
      <w:start w:val="1"/>
      <w:numFmt w:val="lowerLetter"/>
      <w:lvlText w:val="%8."/>
      <w:lvlJc w:val="left"/>
      <w:pPr>
        <w:ind w:left="5760" w:hanging="360"/>
      </w:pPr>
      <w:rPr>
        <w:rFonts w:cs="Times New Roman"/>
      </w:rPr>
    </w:lvl>
    <w:lvl w:ilvl="8" w:tplc="A828B44A" w:tentative="1">
      <w:start w:val="1"/>
      <w:numFmt w:val="lowerRoman"/>
      <w:lvlText w:val="%9."/>
      <w:lvlJc w:val="right"/>
      <w:pPr>
        <w:ind w:left="6480" w:hanging="180"/>
      </w:pPr>
      <w:rPr>
        <w:rFonts w:cs="Times New Roman"/>
      </w:rPr>
    </w:lvl>
  </w:abstractNum>
  <w:abstractNum w:abstractNumId="16" w15:restartNumberingAfterBreak="0">
    <w:nsid w:val="47FB296F"/>
    <w:multiLevelType w:val="hybridMultilevel"/>
    <w:tmpl w:val="A6DA90F0"/>
    <w:lvl w:ilvl="0" w:tplc="87703D56">
      <w:start w:val="1"/>
      <w:numFmt w:val="bullet"/>
      <w:lvlText w:val=""/>
      <w:lvlJc w:val="left"/>
      <w:pPr>
        <w:ind w:left="720" w:hanging="360"/>
      </w:pPr>
      <w:rPr>
        <w:rFonts w:ascii="Symbol" w:hAnsi="Symbol" w:hint="default"/>
      </w:rPr>
    </w:lvl>
    <w:lvl w:ilvl="1" w:tplc="575862C0">
      <w:start w:val="1"/>
      <w:numFmt w:val="bullet"/>
      <w:lvlText w:val="o"/>
      <w:lvlJc w:val="left"/>
      <w:pPr>
        <w:ind w:left="1440" w:hanging="360"/>
      </w:pPr>
      <w:rPr>
        <w:rFonts w:ascii="Courier New" w:hAnsi="Courier New" w:cs="Courier New" w:hint="default"/>
      </w:rPr>
    </w:lvl>
    <w:lvl w:ilvl="2" w:tplc="D460F05A" w:tentative="1">
      <w:start w:val="1"/>
      <w:numFmt w:val="bullet"/>
      <w:lvlText w:val=""/>
      <w:lvlJc w:val="left"/>
      <w:pPr>
        <w:ind w:left="2160" w:hanging="360"/>
      </w:pPr>
      <w:rPr>
        <w:rFonts w:ascii="Wingdings" w:hAnsi="Wingdings" w:hint="default"/>
      </w:rPr>
    </w:lvl>
    <w:lvl w:ilvl="3" w:tplc="4086ABF2" w:tentative="1">
      <w:start w:val="1"/>
      <w:numFmt w:val="bullet"/>
      <w:lvlText w:val=""/>
      <w:lvlJc w:val="left"/>
      <w:pPr>
        <w:ind w:left="2880" w:hanging="360"/>
      </w:pPr>
      <w:rPr>
        <w:rFonts w:ascii="Symbol" w:hAnsi="Symbol" w:hint="default"/>
      </w:rPr>
    </w:lvl>
    <w:lvl w:ilvl="4" w:tplc="0A3E5986" w:tentative="1">
      <w:start w:val="1"/>
      <w:numFmt w:val="bullet"/>
      <w:lvlText w:val="o"/>
      <w:lvlJc w:val="left"/>
      <w:pPr>
        <w:ind w:left="3600" w:hanging="360"/>
      </w:pPr>
      <w:rPr>
        <w:rFonts w:ascii="Courier New" w:hAnsi="Courier New" w:cs="Courier New" w:hint="default"/>
      </w:rPr>
    </w:lvl>
    <w:lvl w:ilvl="5" w:tplc="D1DA27DA" w:tentative="1">
      <w:start w:val="1"/>
      <w:numFmt w:val="bullet"/>
      <w:lvlText w:val=""/>
      <w:lvlJc w:val="left"/>
      <w:pPr>
        <w:ind w:left="4320" w:hanging="360"/>
      </w:pPr>
      <w:rPr>
        <w:rFonts w:ascii="Wingdings" w:hAnsi="Wingdings" w:hint="default"/>
      </w:rPr>
    </w:lvl>
    <w:lvl w:ilvl="6" w:tplc="37F88516" w:tentative="1">
      <w:start w:val="1"/>
      <w:numFmt w:val="bullet"/>
      <w:lvlText w:val=""/>
      <w:lvlJc w:val="left"/>
      <w:pPr>
        <w:ind w:left="5040" w:hanging="360"/>
      </w:pPr>
      <w:rPr>
        <w:rFonts w:ascii="Symbol" w:hAnsi="Symbol" w:hint="default"/>
      </w:rPr>
    </w:lvl>
    <w:lvl w:ilvl="7" w:tplc="1E66A8CE" w:tentative="1">
      <w:start w:val="1"/>
      <w:numFmt w:val="bullet"/>
      <w:lvlText w:val="o"/>
      <w:lvlJc w:val="left"/>
      <w:pPr>
        <w:ind w:left="5760" w:hanging="360"/>
      </w:pPr>
      <w:rPr>
        <w:rFonts w:ascii="Courier New" w:hAnsi="Courier New" w:cs="Courier New" w:hint="default"/>
      </w:rPr>
    </w:lvl>
    <w:lvl w:ilvl="8" w:tplc="977609DC" w:tentative="1">
      <w:start w:val="1"/>
      <w:numFmt w:val="bullet"/>
      <w:lvlText w:val=""/>
      <w:lvlJc w:val="left"/>
      <w:pPr>
        <w:ind w:left="6480" w:hanging="360"/>
      </w:pPr>
      <w:rPr>
        <w:rFonts w:ascii="Wingdings" w:hAnsi="Wingdings" w:hint="default"/>
      </w:rPr>
    </w:lvl>
  </w:abstractNum>
  <w:abstractNum w:abstractNumId="17" w15:restartNumberingAfterBreak="0">
    <w:nsid w:val="4D5E50A4"/>
    <w:multiLevelType w:val="hybridMultilevel"/>
    <w:tmpl w:val="ECB8CEA0"/>
    <w:lvl w:ilvl="0" w:tplc="998861B8">
      <w:start w:val="1"/>
      <w:numFmt w:val="bullet"/>
      <w:lvlText w:val=""/>
      <w:lvlJc w:val="left"/>
      <w:pPr>
        <w:ind w:left="1800" w:hanging="360"/>
      </w:pPr>
      <w:rPr>
        <w:rFonts w:ascii="Symbol" w:hAnsi="Symbol" w:hint="default"/>
      </w:rPr>
    </w:lvl>
    <w:lvl w:ilvl="1" w:tplc="659A1E18" w:tentative="1">
      <w:start w:val="1"/>
      <w:numFmt w:val="bullet"/>
      <w:lvlText w:val="o"/>
      <w:lvlJc w:val="left"/>
      <w:pPr>
        <w:ind w:left="2520" w:hanging="360"/>
      </w:pPr>
      <w:rPr>
        <w:rFonts w:ascii="Courier New" w:hAnsi="Courier New" w:cs="Courier New" w:hint="default"/>
      </w:rPr>
    </w:lvl>
    <w:lvl w:ilvl="2" w:tplc="0A30267E" w:tentative="1">
      <w:start w:val="1"/>
      <w:numFmt w:val="bullet"/>
      <w:lvlText w:val=""/>
      <w:lvlJc w:val="left"/>
      <w:pPr>
        <w:ind w:left="3240" w:hanging="360"/>
      </w:pPr>
      <w:rPr>
        <w:rFonts w:ascii="Wingdings" w:hAnsi="Wingdings" w:hint="default"/>
      </w:rPr>
    </w:lvl>
    <w:lvl w:ilvl="3" w:tplc="3D007B0C" w:tentative="1">
      <w:start w:val="1"/>
      <w:numFmt w:val="bullet"/>
      <w:lvlText w:val=""/>
      <w:lvlJc w:val="left"/>
      <w:pPr>
        <w:ind w:left="3960" w:hanging="360"/>
      </w:pPr>
      <w:rPr>
        <w:rFonts w:ascii="Symbol" w:hAnsi="Symbol" w:hint="default"/>
      </w:rPr>
    </w:lvl>
    <w:lvl w:ilvl="4" w:tplc="DC5EBF72" w:tentative="1">
      <w:start w:val="1"/>
      <w:numFmt w:val="bullet"/>
      <w:lvlText w:val="o"/>
      <w:lvlJc w:val="left"/>
      <w:pPr>
        <w:ind w:left="4680" w:hanging="360"/>
      </w:pPr>
      <w:rPr>
        <w:rFonts w:ascii="Courier New" w:hAnsi="Courier New" w:cs="Courier New" w:hint="default"/>
      </w:rPr>
    </w:lvl>
    <w:lvl w:ilvl="5" w:tplc="FD8C78CE" w:tentative="1">
      <w:start w:val="1"/>
      <w:numFmt w:val="bullet"/>
      <w:lvlText w:val=""/>
      <w:lvlJc w:val="left"/>
      <w:pPr>
        <w:ind w:left="5400" w:hanging="360"/>
      </w:pPr>
      <w:rPr>
        <w:rFonts w:ascii="Wingdings" w:hAnsi="Wingdings" w:hint="default"/>
      </w:rPr>
    </w:lvl>
    <w:lvl w:ilvl="6" w:tplc="D7F2DCE8" w:tentative="1">
      <w:start w:val="1"/>
      <w:numFmt w:val="bullet"/>
      <w:lvlText w:val=""/>
      <w:lvlJc w:val="left"/>
      <w:pPr>
        <w:ind w:left="6120" w:hanging="360"/>
      </w:pPr>
      <w:rPr>
        <w:rFonts w:ascii="Symbol" w:hAnsi="Symbol" w:hint="default"/>
      </w:rPr>
    </w:lvl>
    <w:lvl w:ilvl="7" w:tplc="511E803C" w:tentative="1">
      <w:start w:val="1"/>
      <w:numFmt w:val="bullet"/>
      <w:lvlText w:val="o"/>
      <w:lvlJc w:val="left"/>
      <w:pPr>
        <w:ind w:left="6840" w:hanging="360"/>
      </w:pPr>
      <w:rPr>
        <w:rFonts w:ascii="Courier New" w:hAnsi="Courier New" w:cs="Courier New" w:hint="default"/>
      </w:rPr>
    </w:lvl>
    <w:lvl w:ilvl="8" w:tplc="22C6488C" w:tentative="1">
      <w:start w:val="1"/>
      <w:numFmt w:val="bullet"/>
      <w:lvlText w:val=""/>
      <w:lvlJc w:val="left"/>
      <w:pPr>
        <w:ind w:left="7560" w:hanging="360"/>
      </w:pPr>
      <w:rPr>
        <w:rFonts w:ascii="Wingdings" w:hAnsi="Wingdings" w:hint="default"/>
      </w:rPr>
    </w:lvl>
  </w:abstractNum>
  <w:abstractNum w:abstractNumId="18" w15:restartNumberingAfterBreak="0">
    <w:nsid w:val="53AA6FBD"/>
    <w:multiLevelType w:val="hybridMultilevel"/>
    <w:tmpl w:val="E75A2E94"/>
    <w:lvl w:ilvl="0" w:tplc="65E45918">
      <w:start w:val="1"/>
      <w:numFmt w:val="bullet"/>
      <w:lvlText w:val=""/>
      <w:lvlJc w:val="left"/>
      <w:pPr>
        <w:ind w:left="644" w:hanging="360"/>
      </w:pPr>
      <w:rPr>
        <w:rFonts w:ascii="Symbol" w:hAnsi="Symbol" w:hint="default"/>
      </w:rPr>
    </w:lvl>
    <w:lvl w:ilvl="1" w:tplc="66EAB5EE" w:tentative="1">
      <w:start w:val="1"/>
      <w:numFmt w:val="bullet"/>
      <w:lvlText w:val="o"/>
      <w:lvlJc w:val="left"/>
      <w:pPr>
        <w:ind w:left="1364" w:hanging="360"/>
      </w:pPr>
      <w:rPr>
        <w:rFonts w:ascii="Courier New" w:hAnsi="Courier New" w:hint="default"/>
      </w:rPr>
    </w:lvl>
    <w:lvl w:ilvl="2" w:tplc="11B8359C" w:tentative="1">
      <w:start w:val="1"/>
      <w:numFmt w:val="bullet"/>
      <w:lvlText w:val=""/>
      <w:lvlJc w:val="left"/>
      <w:pPr>
        <w:ind w:left="2084" w:hanging="360"/>
      </w:pPr>
      <w:rPr>
        <w:rFonts w:ascii="Wingdings" w:hAnsi="Wingdings" w:hint="default"/>
      </w:rPr>
    </w:lvl>
    <w:lvl w:ilvl="3" w:tplc="F7C02A82" w:tentative="1">
      <w:start w:val="1"/>
      <w:numFmt w:val="bullet"/>
      <w:lvlText w:val=""/>
      <w:lvlJc w:val="left"/>
      <w:pPr>
        <w:ind w:left="2804" w:hanging="360"/>
      </w:pPr>
      <w:rPr>
        <w:rFonts w:ascii="Symbol" w:hAnsi="Symbol" w:hint="default"/>
      </w:rPr>
    </w:lvl>
    <w:lvl w:ilvl="4" w:tplc="3764761A" w:tentative="1">
      <w:start w:val="1"/>
      <w:numFmt w:val="bullet"/>
      <w:lvlText w:val="o"/>
      <w:lvlJc w:val="left"/>
      <w:pPr>
        <w:ind w:left="3524" w:hanging="360"/>
      </w:pPr>
      <w:rPr>
        <w:rFonts w:ascii="Courier New" w:hAnsi="Courier New" w:hint="default"/>
      </w:rPr>
    </w:lvl>
    <w:lvl w:ilvl="5" w:tplc="4E74441E" w:tentative="1">
      <w:start w:val="1"/>
      <w:numFmt w:val="bullet"/>
      <w:lvlText w:val=""/>
      <w:lvlJc w:val="left"/>
      <w:pPr>
        <w:ind w:left="4244" w:hanging="360"/>
      </w:pPr>
      <w:rPr>
        <w:rFonts w:ascii="Wingdings" w:hAnsi="Wingdings" w:hint="default"/>
      </w:rPr>
    </w:lvl>
    <w:lvl w:ilvl="6" w:tplc="81147686" w:tentative="1">
      <w:start w:val="1"/>
      <w:numFmt w:val="bullet"/>
      <w:lvlText w:val=""/>
      <w:lvlJc w:val="left"/>
      <w:pPr>
        <w:ind w:left="4964" w:hanging="360"/>
      </w:pPr>
      <w:rPr>
        <w:rFonts w:ascii="Symbol" w:hAnsi="Symbol" w:hint="default"/>
      </w:rPr>
    </w:lvl>
    <w:lvl w:ilvl="7" w:tplc="8FBEFB3C" w:tentative="1">
      <w:start w:val="1"/>
      <w:numFmt w:val="bullet"/>
      <w:lvlText w:val="o"/>
      <w:lvlJc w:val="left"/>
      <w:pPr>
        <w:ind w:left="5684" w:hanging="360"/>
      </w:pPr>
      <w:rPr>
        <w:rFonts w:ascii="Courier New" w:hAnsi="Courier New" w:hint="default"/>
      </w:rPr>
    </w:lvl>
    <w:lvl w:ilvl="8" w:tplc="F9B65C0E" w:tentative="1">
      <w:start w:val="1"/>
      <w:numFmt w:val="bullet"/>
      <w:lvlText w:val=""/>
      <w:lvlJc w:val="left"/>
      <w:pPr>
        <w:ind w:left="6404" w:hanging="360"/>
      </w:pPr>
      <w:rPr>
        <w:rFonts w:ascii="Wingdings" w:hAnsi="Wingdings" w:hint="default"/>
      </w:rPr>
    </w:lvl>
  </w:abstractNum>
  <w:abstractNum w:abstractNumId="19" w15:restartNumberingAfterBreak="0">
    <w:nsid w:val="53E37A36"/>
    <w:multiLevelType w:val="hybridMultilevel"/>
    <w:tmpl w:val="937A2D04"/>
    <w:lvl w:ilvl="0" w:tplc="77A6A5D4">
      <w:start w:val="1"/>
      <w:numFmt w:val="decimal"/>
      <w:lvlText w:val="%1."/>
      <w:lvlJc w:val="left"/>
      <w:pPr>
        <w:ind w:left="720" w:hanging="360"/>
      </w:pPr>
      <w:rPr>
        <w:rFonts w:hint="default"/>
      </w:rPr>
    </w:lvl>
    <w:lvl w:ilvl="1" w:tplc="51AC8446" w:tentative="1">
      <w:start w:val="1"/>
      <w:numFmt w:val="bullet"/>
      <w:lvlText w:val="o"/>
      <w:lvlJc w:val="left"/>
      <w:pPr>
        <w:ind w:left="1440" w:hanging="360"/>
      </w:pPr>
      <w:rPr>
        <w:rFonts w:ascii="Courier New" w:hAnsi="Courier New" w:hint="default"/>
      </w:rPr>
    </w:lvl>
    <w:lvl w:ilvl="2" w:tplc="F806B4F0" w:tentative="1">
      <w:start w:val="1"/>
      <w:numFmt w:val="bullet"/>
      <w:lvlText w:val=""/>
      <w:lvlJc w:val="left"/>
      <w:pPr>
        <w:ind w:left="2160" w:hanging="360"/>
      </w:pPr>
      <w:rPr>
        <w:rFonts w:ascii="Wingdings" w:hAnsi="Wingdings" w:hint="default"/>
      </w:rPr>
    </w:lvl>
    <w:lvl w:ilvl="3" w:tplc="CDCEE8EE" w:tentative="1">
      <w:start w:val="1"/>
      <w:numFmt w:val="bullet"/>
      <w:lvlText w:val=""/>
      <w:lvlJc w:val="left"/>
      <w:pPr>
        <w:ind w:left="2880" w:hanging="360"/>
      </w:pPr>
      <w:rPr>
        <w:rFonts w:ascii="Symbol" w:hAnsi="Symbol" w:hint="default"/>
      </w:rPr>
    </w:lvl>
    <w:lvl w:ilvl="4" w:tplc="9C1A386A" w:tentative="1">
      <w:start w:val="1"/>
      <w:numFmt w:val="bullet"/>
      <w:lvlText w:val="o"/>
      <w:lvlJc w:val="left"/>
      <w:pPr>
        <w:ind w:left="3600" w:hanging="360"/>
      </w:pPr>
      <w:rPr>
        <w:rFonts w:ascii="Courier New" w:hAnsi="Courier New" w:hint="default"/>
      </w:rPr>
    </w:lvl>
    <w:lvl w:ilvl="5" w:tplc="9D0E9DE4" w:tentative="1">
      <w:start w:val="1"/>
      <w:numFmt w:val="bullet"/>
      <w:lvlText w:val=""/>
      <w:lvlJc w:val="left"/>
      <w:pPr>
        <w:ind w:left="4320" w:hanging="360"/>
      </w:pPr>
      <w:rPr>
        <w:rFonts w:ascii="Wingdings" w:hAnsi="Wingdings" w:hint="default"/>
      </w:rPr>
    </w:lvl>
    <w:lvl w:ilvl="6" w:tplc="C87858BA" w:tentative="1">
      <w:start w:val="1"/>
      <w:numFmt w:val="bullet"/>
      <w:lvlText w:val=""/>
      <w:lvlJc w:val="left"/>
      <w:pPr>
        <w:ind w:left="5040" w:hanging="360"/>
      </w:pPr>
      <w:rPr>
        <w:rFonts w:ascii="Symbol" w:hAnsi="Symbol" w:hint="default"/>
      </w:rPr>
    </w:lvl>
    <w:lvl w:ilvl="7" w:tplc="3C88B9CC" w:tentative="1">
      <w:start w:val="1"/>
      <w:numFmt w:val="bullet"/>
      <w:lvlText w:val="o"/>
      <w:lvlJc w:val="left"/>
      <w:pPr>
        <w:ind w:left="5760" w:hanging="360"/>
      </w:pPr>
      <w:rPr>
        <w:rFonts w:ascii="Courier New" w:hAnsi="Courier New" w:hint="default"/>
      </w:rPr>
    </w:lvl>
    <w:lvl w:ilvl="8" w:tplc="4BFA49B8" w:tentative="1">
      <w:start w:val="1"/>
      <w:numFmt w:val="bullet"/>
      <w:lvlText w:val=""/>
      <w:lvlJc w:val="left"/>
      <w:pPr>
        <w:ind w:left="6480" w:hanging="360"/>
      </w:pPr>
      <w:rPr>
        <w:rFonts w:ascii="Wingdings" w:hAnsi="Wingdings" w:hint="default"/>
      </w:rPr>
    </w:lvl>
  </w:abstractNum>
  <w:abstractNum w:abstractNumId="20" w15:restartNumberingAfterBreak="0">
    <w:nsid w:val="55277BC9"/>
    <w:multiLevelType w:val="hybridMultilevel"/>
    <w:tmpl w:val="26120C6C"/>
    <w:lvl w:ilvl="0" w:tplc="5EE4B80E">
      <w:start w:val="1"/>
      <w:numFmt w:val="bullet"/>
      <w:lvlText w:val=""/>
      <w:lvlJc w:val="left"/>
      <w:pPr>
        <w:ind w:left="720" w:hanging="360"/>
      </w:pPr>
      <w:rPr>
        <w:rFonts w:ascii="Symbol" w:hAnsi="Symbol" w:hint="default"/>
      </w:rPr>
    </w:lvl>
    <w:lvl w:ilvl="1" w:tplc="9F96C7A8" w:tentative="1">
      <w:start w:val="1"/>
      <w:numFmt w:val="bullet"/>
      <w:lvlText w:val="o"/>
      <w:lvlJc w:val="left"/>
      <w:pPr>
        <w:ind w:left="1440" w:hanging="360"/>
      </w:pPr>
      <w:rPr>
        <w:rFonts w:ascii="Courier New" w:hAnsi="Courier New" w:cs="Courier New" w:hint="default"/>
      </w:rPr>
    </w:lvl>
    <w:lvl w:ilvl="2" w:tplc="108E828E" w:tentative="1">
      <w:start w:val="1"/>
      <w:numFmt w:val="bullet"/>
      <w:lvlText w:val=""/>
      <w:lvlJc w:val="left"/>
      <w:pPr>
        <w:ind w:left="2160" w:hanging="360"/>
      </w:pPr>
      <w:rPr>
        <w:rFonts w:ascii="Wingdings" w:hAnsi="Wingdings" w:hint="default"/>
      </w:rPr>
    </w:lvl>
    <w:lvl w:ilvl="3" w:tplc="014C3B7E" w:tentative="1">
      <w:start w:val="1"/>
      <w:numFmt w:val="bullet"/>
      <w:lvlText w:val=""/>
      <w:lvlJc w:val="left"/>
      <w:pPr>
        <w:ind w:left="2880" w:hanging="360"/>
      </w:pPr>
      <w:rPr>
        <w:rFonts w:ascii="Symbol" w:hAnsi="Symbol" w:hint="default"/>
      </w:rPr>
    </w:lvl>
    <w:lvl w:ilvl="4" w:tplc="DC3A488C" w:tentative="1">
      <w:start w:val="1"/>
      <w:numFmt w:val="bullet"/>
      <w:lvlText w:val="o"/>
      <w:lvlJc w:val="left"/>
      <w:pPr>
        <w:ind w:left="3600" w:hanging="360"/>
      </w:pPr>
      <w:rPr>
        <w:rFonts w:ascii="Courier New" w:hAnsi="Courier New" w:cs="Courier New" w:hint="default"/>
      </w:rPr>
    </w:lvl>
    <w:lvl w:ilvl="5" w:tplc="8A542534" w:tentative="1">
      <w:start w:val="1"/>
      <w:numFmt w:val="bullet"/>
      <w:lvlText w:val=""/>
      <w:lvlJc w:val="left"/>
      <w:pPr>
        <w:ind w:left="4320" w:hanging="360"/>
      </w:pPr>
      <w:rPr>
        <w:rFonts w:ascii="Wingdings" w:hAnsi="Wingdings" w:hint="default"/>
      </w:rPr>
    </w:lvl>
    <w:lvl w:ilvl="6" w:tplc="C41CF184" w:tentative="1">
      <w:start w:val="1"/>
      <w:numFmt w:val="bullet"/>
      <w:lvlText w:val=""/>
      <w:lvlJc w:val="left"/>
      <w:pPr>
        <w:ind w:left="5040" w:hanging="360"/>
      </w:pPr>
      <w:rPr>
        <w:rFonts w:ascii="Symbol" w:hAnsi="Symbol" w:hint="default"/>
      </w:rPr>
    </w:lvl>
    <w:lvl w:ilvl="7" w:tplc="11F4365A" w:tentative="1">
      <w:start w:val="1"/>
      <w:numFmt w:val="bullet"/>
      <w:lvlText w:val="o"/>
      <w:lvlJc w:val="left"/>
      <w:pPr>
        <w:ind w:left="5760" w:hanging="360"/>
      </w:pPr>
      <w:rPr>
        <w:rFonts w:ascii="Courier New" w:hAnsi="Courier New" w:cs="Courier New" w:hint="default"/>
      </w:rPr>
    </w:lvl>
    <w:lvl w:ilvl="8" w:tplc="A574DF56" w:tentative="1">
      <w:start w:val="1"/>
      <w:numFmt w:val="bullet"/>
      <w:lvlText w:val=""/>
      <w:lvlJc w:val="left"/>
      <w:pPr>
        <w:ind w:left="6480" w:hanging="360"/>
      </w:pPr>
      <w:rPr>
        <w:rFonts w:ascii="Wingdings" w:hAnsi="Wingdings" w:hint="default"/>
      </w:rPr>
    </w:lvl>
  </w:abstractNum>
  <w:abstractNum w:abstractNumId="21" w15:restartNumberingAfterBreak="0">
    <w:nsid w:val="55461E04"/>
    <w:multiLevelType w:val="hybridMultilevel"/>
    <w:tmpl w:val="729896BE"/>
    <w:lvl w:ilvl="0" w:tplc="85464036">
      <w:start w:val="1"/>
      <w:numFmt w:val="bullet"/>
      <w:lvlText w:val=""/>
      <w:lvlJc w:val="left"/>
      <w:pPr>
        <w:ind w:left="1500" w:hanging="360"/>
      </w:pPr>
      <w:rPr>
        <w:rFonts w:ascii="Symbol" w:hAnsi="Symbol" w:hint="default"/>
      </w:rPr>
    </w:lvl>
    <w:lvl w:ilvl="1" w:tplc="ABAECCDA" w:tentative="1">
      <w:start w:val="1"/>
      <w:numFmt w:val="bullet"/>
      <w:lvlText w:val="o"/>
      <w:lvlJc w:val="left"/>
      <w:pPr>
        <w:ind w:left="2220" w:hanging="360"/>
      </w:pPr>
      <w:rPr>
        <w:rFonts w:ascii="Courier New" w:hAnsi="Courier New" w:cs="Courier New" w:hint="default"/>
      </w:rPr>
    </w:lvl>
    <w:lvl w:ilvl="2" w:tplc="4CA01886" w:tentative="1">
      <w:start w:val="1"/>
      <w:numFmt w:val="bullet"/>
      <w:lvlText w:val=""/>
      <w:lvlJc w:val="left"/>
      <w:pPr>
        <w:ind w:left="2940" w:hanging="360"/>
      </w:pPr>
      <w:rPr>
        <w:rFonts w:ascii="Wingdings" w:hAnsi="Wingdings" w:hint="default"/>
      </w:rPr>
    </w:lvl>
    <w:lvl w:ilvl="3" w:tplc="3D78A548" w:tentative="1">
      <w:start w:val="1"/>
      <w:numFmt w:val="bullet"/>
      <w:lvlText w:val=""/>
      <w:lvlJc w:val="left"/>
      <w:pPr>
        <w:ind w:left="3660" w:hanging="360"/>
      </w:pPr>
      <w:rPr>
        <w:rFonts w:ascii="Symbol" w:hAnsi="Symbol" w:hint="default"/>
      </w:rPr>
    </w:lvl>
    <w:lvl w:ilvl="4" w:tplc="6E8A379E" w:tentative="1">
      <w:start w:val="1"/>
      <w:numFmt w:val="bullet"/>
      <w:lvlText w:val="o"/>
      <w:lvlJc w:val="left"/>
      <w:pPr>
        <w:ind w:left="4380" w:hanging="360"/>
      </w:pPr>
      <w:rPr>
        <w:rFonts w:ascii="Courier New" w:hAnsi="Courier New" w:cs="Courier New" w:hint="default"/>
      </w:rPr>
    </w:lvl>
    <w:lvl w:ilvl="5" w:tplc="0AB621C4" w:tentative="1">
      <w:start w:val="1"/>
      <w:numFmt w:val="bullet"/>
      <w:lvlText w:val=""/>
      <w:lvlJc w:val="left"/>
      <w:pPr>
        <w:ind w:left="5100" w:hanging="360"/>
      </w:pPr>
      <w:rPr>
        <w:rFonts w:ascii="Wingdings" w:hAnsi="Wingdings" w:hint="default"/>
      </w:rPr>
    </w:lvl>
    <w:lvl w:ilvl="6" w:tplc="DF0EB4B8" w:tentative="1">
      <w:start w:val="1"/>
      <w:numFmt w:val="bullet"/>
      <w:lvlText w:val=""/>
      <w:lvlJc w:val="left"/>
      <w:pPr>
        <w:ind w:left="5820" w:hanging="360"/>
      </w:pPr>
      <w:rPr>
        <w:rFonts w:ascii="Symbol" w:hAnsi="Symbol" w:hint="default"/>
      </w:rPr>
    </w:lvl>
    <w:lvl w:ilvl="7" w:tplc="6DA494EA" w:tentative="1">
      <w:start w:val="1"/>
      <w:numFmt w:val="bullet"/>
      <w:lvlText w:val="o"/>
      <w:lvlJc w:val="left"/>
      <w:pPr>
        <w:ind w:left="6540" w:hanging="360"/>
      </w:pPr>
      <w:rPr>
        <w:rFonts w:ascii="Courier New" w:hAnsi="Courier New" w:cs="Courier New" w:hint="default"/>
      </w:rPr>
    </w:lvl>
    <w:lvl w:ilvl="8" w:tplc="45D6A6D8" w:tentative="1">
      <w:start w:val="1"/>
      <w:numFmt w:val="bullet"/>
      <w:lvlText w:val=""/>
      <w:lvlJc w:val="left"/>
      <w:pPr>
        <w:ind w:left="7260" w:hanging="360"/>
      </w:pPr>
      <w:rPr>
        <w:rFonts w:ascii="Wingdings" w:hAnsi="Wingdings" w:hint="default"/>
      </w:rPr>
    </w:lvl>
  </w:abstractNum>
  <w:abstractNum w:abstractNumId="22" w15:restartNumberingAfterBreak="0">
    <w:nsid w:val="5BCA1522"/>
    <w:multiLevelType w:val="hybridMultilevel"/>
    <w:tmpl w:val="DC262DCC"/>
    <w:lvl w:ilvl="0" w:tplc="205000DE">
      <w:start w:val="1"/>
      <w:numFmt w:val="bullet"/>
      <w:lvlText w:val=""/>
      <w:lvlJc w:val="left"/>
      <w:pPr>
        <w:ind w:left="720" w:hanging="360"/>
      </w:pPr>
      <w:rPr>
        <w:rFonts w:ascii="Symbol" w:hAnsi="Symbol" w:hint="default"/>
      </w:rPr>
    </w:lvl>
    <w:lvl w:ilvl="1" w:tplc="9B4C304A">
      <w:start w:val="1"/>
      <w:numFmt w:val="bullet"/>
      <w:lvlText w:val="o"/>
      <w:lvlJc w:val="left"/>
      <w:pPr>
        <w:ind w:left="1440" w:hanging="360"/>
      </w:pPr>
      <w:rPr>
        <w:rFonts w:ascii="Courier New" w:hAnsi="Courier New" w:cs="Courier New" w:hint="default"/>
      </w:rPr>
    </w:lvl>
    <w:lvl w:ilvl="2" w:tplc="F6FCD6E4" w:tentative="1">
      <w:start w:val="1"/>
      <w:numFmt w:val="bullet"/>
      <w:lvlText w:val=""/>
      <w:lvlJc w:val="left"/>
      <w:pPr>
        <w:ind w:left="2160" w:hanging="360"/>
      </w:pPr>
      <w:rPr>
        <w:rFonts w:ascii="Wingdings" w:hAnsi="Wingdings" w:hint="default"/>
      </w:rPr>
    </w:lvl>
    <w:lvl w:ilvl="3" w:tplc="ABCAF35E" w:tentative="1">
      <w:start w:val="1"/>
      <w:numFmt w:val="bullet"/>
      <w:lvlText w:val=""/>
      <w:lvlJc w:val="left"/>
      <w:pPr>
        <w:ind w:left="2880" w:hanging="360"/>
      </w:pPr>
      <w:rPr>
        <w:rFonts w:ascii="Symbol" w:hAnsi="Symbol" w:hint="default"/>
      </w:rPr>
    </w:lvl>
    <w:lvl w:ilvl="4" w:tplc="000ADD60" w:tentative="1">
      <w:start w:val="1"/>
      <w:numFmt w:val="bullet"/>
      <w:lvlText w:val="o"/>
      <w:lvlJc w:val="left"/>
      <w:pPr>
        <w:ind w:left="3600" w:hanging="360"/>
      </w:pPr>
      <w:rPr>
        <w:rFonts w:ascii="Courier New" w:hAnsi="Courier New" w:cs="Courier New" w:hint="default"/>
      </w:rPr>
    </w:lvl>
    <w:lvl w:ilvl="5" w:tplc="70CE20F6" w:tentative="1">
      <w:start w:val="1"/>
      <w:numFmt w:val="bullet"/>
      <w:lvlText w:val=""/>
      <w:lvlJc w:val="left"/>
      <w:pPr>
        <w:ind w:left="4320" w:hanging="360"/>
      </w:pPr>
      <w:rPr>
        <w:rFonts w:ascii="Wingdings" w:hAnsi="Wingdings" w:hint="default"/>
      </w:rPr>
    </w:lvl>
    <w:lvl w:ilvl="6" w:tplc="060077D8" w:tentative="1">
      <w:start w:val="1"/>
      <w:numFmt w:val="bullet"/>
      <w:lvlText w:val=""/>
      <w:lvlJc w:val="left"/>
      <w:pPr>
        <w:ind w:left="5040" w:hanging="360"/>
      </w:pPr>
      <w:rPr>
        <w:rFonts w:ascii="Symbol" w:hAnsi="Symbol" w:hint="default"/>
      </w:rPr>
    </w:lvl>
    <w:lvl w:ilvl="7" w:tplc="39606C16" w:tentative="1">
      <w:start w:val="1"/>
      <w:numFmt w:val="bullet"/>
      <w:lvlText w:val="o"/>
      <w:lvlJc w:val="left"/>
      <w:pPr>
        <w:ind w:left="5760" w:hanging="360"/>
      </w:pPr>
      <w:rPr>
        <w:rFonts w:ascii="Courier New" w:hAnsi="Courier New" w:cs="Courier New" w:hint="default"/>
      </w:rPr>
    </w:lvl>
    <w:lvl w:ilvl="8" w:tplc="1DAA670A" w:tentative="1">
      <w:start w:val="1"/>
      <w:numFmt w:val="bullet"/>
      <w:lvlText w:val=""/>
      <w:lvlJc w:val="left"/>
      <w:pPr>
        <w:ind w:left="6480" w:hanging="360"/>
      </w:pPr>
      <w:rPr>
        <w:rFonts w:ascii="Wingdings" w:hAnsi="Wingdings" w:hint="default"/>
      </w:rPr>
    </w:lvl>
  </w:abstractNum>
  <w:abstractNum w:abstractNumId="23" w15:restartNumberingAfterBreak="0">
    <w:nsid w:val="65AD77D4"/>
    <w:multiLevelType w:val="multilevel"/>
    <w:tmpl w:val="A67453AE"/>
    <w:styleLink w:val="List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4" w15:restartNumberingAfterBreak="0">
    <w:nsid w:val="7BBD556D"/>
    <w:multiLevelType w:val="hybridMultilevel"/>
    <w:tmpl w:val="229CFC28"/>
    <w:lvl w:ilvl="0" w:tplc="F1C80944">
      <w:start w:val="1"/>
      <w:numFmt w:val="lowerRoman"/>
      <w:lvlText w:val="(%1)"/>
      <w:lvlJc w:val="right"/>
      <w:pPr>
        <w:ind w:left="1800" w:hanging="360"/>
      </w:pPr>
      <w:rPr>
        <w:rFonts w:hint="default"/>
      </w:rPr>
    </w:lvl>
    <w:lvl w:ilvl="1" w:tplc="EFAC41A6" w:tentative="1">
      <w:start w:val="1"/>
      <w:numFmt w:val="lowerLetter"/>
      <w:lvlText w:val="%2."/>
      <w:lvlJc w:val="left"/>
      <w:pPr>
        <w:ind w:left="2520" w:hanging="360"/>
      </w:pPr>
    </w:lvl>
    <w:lvl w:ilvl="2" w:tplc="F2BCD51C" w:tentative="1">
      <w:start w:val="1"/>
      <w:numFmt w:val="lowerRoman"/>
      <w:lvlText w:val="%3."/>
      <w:lvlJc w:val="right"/>
      <w:pPr>
        <w:ind w:left="3240" w:hanging="180"/>
      </w:pPr>
    </w:lvl>
    <w:lvl w:ilvl="3" w:tplc="4580D5A2" w:tentative="1">
      <w:start w:val="1"/>
      <w:numFmt w:val="decimal"/>
      <w:lvlText w:val="%4."/>
      <w:lvlJc w:val="left"/>
      <w:pPr>
        <w:ind w:left="3960" w:hanging="360"/>
      </w:pPr>
    </w:lvl>
    <w:lvl w:ilvl="4" w:tplc="2314FF6A" w:tentative="1">
      <w:start w:val="1"/>
      <w:numFmt w:val="lowerLetter"/>
      <w:lvlText w:val="%5."/>
      <w:lvlJc w:val="left"/>
      <w:pPr>
        <w:ind w:left="4680" w:hanging="360"/>
      </w:pPr>
    </w:lvl>
    <w:lvl w:ilvl="5" w:tplc="47D8BE0C" w:tentative="1">
      <w:start w:val="1"/>
      <w:numFmt w:val="lowerRoman"/>
      <w:lvlText w:val="%6."/>
      <w:lvlJc w:val="right"/>
      <w:pPr>
        <w:ind w:left="5400" w:hanging="180"/>
      </w:pPr>
    </w:lvl>
    <w:lvl w:ilvl="6" w:tplc="6818BD30" w:tentative="1">
      <w:start w:val="1"/>
      <w:numFmt w:val="decimal"/>
      <w:lvlText w:val="%7."/>
      <w:lvlJc w:val="left"/>
      <w:pPr>
        <w:ind w:left="6120" w:hanging="360"/>
      </w:pPr>
    </w:lvl>
    <w:lvl w:ilvl="7" w:tplc="5AA6084A" w:tentative="1">
      <w:start w:val="1"/>
      <w:numFmt w:val="lowerLetter"/>
      <w:lvlText w:val="%8."/>
      <w:lvlJc w:val="left"/>
      <w:pPr>
        <w:ind w:left="6840" w:hanging="360"/>
      </w:pPr>
    </w:lvl>
    <w:lvl w:ilvl="8" w:tplc="48DED896" w:tentative="1">
      <w:start w:val="1"/>
      <w:numFmt w:val="lowerRoman"/>
      <w:lvlText w:val="%9."/>
      <w:lvlJc w:val="right"/>
      <w:pPr>
        <w:ind w:left="7560" w:hanging="180"/>
      </w:pPr>
    </w:lvl>
  </w:abstractNum>
  <w:num w:numId="1">
    <w:abstractNumId w:val="10"/>
  </w:num>
  <w:num w:numId="2">
    <w:abstractNumId w:val="4"/>
  </w:num>
  <w:num w:numId="3">
    <w:abstractNumId w:val="7"/>
  </w:num>
  <w:num w:numId="4">
    <w:abstractNumId w:val="15"/>
  </w:num>
  <w:num w:numId="5">
    <w:abstractNumId w:val="11"/>
  </w:num>
  <w:num w:numId="6">
    <w:abstractNumId w:val="1"/>
  </w:num>
  <w:num w:numId="7">
    <w:abstractNumId w:val="18"/>
  </w:num>
  <w:num w:numId="8">
    <w:abstractNumId w:val="8"/>
  </w:num>
  <w:num w:numId="9">
    <w:abstractNumId w:val="5"/>
  </w:num>
  <w:num w:numId="10">
    <w:abstractNumId w:val="12"/>
  </w:num>
  <w:num w:numId="11">
    <w:abstractNumId w:val="23"/>
  </w:num>
  <w:num w:numId="12">
    <w:abstractNumId w:val="21"/>
  </w:num>
  <w:num w:numId="13">
    <w:abstractNumId w:val="3"/>
  </w:num>
  <w:num w:numId="14">
    <w:abstractNumId w:val="19"/>
  </w:num>
  <w:num w:numId="15">
    <w:abstractNumId w:val="17"/>
  </w:num>
  <w:num w:numId="16">
    <w:abstractNumId w:val="24"/>
  </w:num>
  <w:num w:numId="17">
    <w:abstractNumId w:val="20"/>
  </w:num>
  <w:num w:numId="18">
    <w:abstractNumId w:val="0"/>
  </w:num>
  <w:num w:numId="19">
    <w:abstractNumId w:val="2"/>
  </w:num>
  <w:num w:numId="20">
    <w:abstractNumId w:val="22"/>
  </w:num>
  <w:num w:numId="21">
    <w:abstractNumId w:val="13"/>
  </w:num>
  <w:num w:numId="22">
    <w:abstractNumId w:val="9"/>
  </w:num>
  <w:num w:numId="23">
    <w:abstractNumId w:val="16"/>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91"/>
    <w:rsid w:val="00057DFB"/>
    <w:rsid w:val="00750627"/>
    <w:rsid w:val="00CB5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97BA95-E8B4-493B-9D4F-5DE6A0BB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22F"/>
    <w:pPr>
      <w:spacing w:after="0" w:line="240" w:lineRule="auto"/>
    </w:pPr>
    <w:rPr>
      <w:rFonts w:ascii="Arial" w:hAnsi="Arial" w:cs="Arial"/>
      <w:sz w:val="24"/>
      <w:szCs w:val="24"/>
      <w:lang w:eastAsia="en-GB"/>
    </w:rPr>
  </w:style>
  <w:style w:type="paragraph" w:styleId="Heading2">
    <w:name w:val="heading 2"/>
    <w:basedOn w:val="Normal"/>
    <w:next w:val="Normal"/>
    <w:link w:val="Heading2Char"/>
    <w:uiPriority w:val="99"/>
    <w:qFormat/>
    <w:rsid w:val="0040630B"/>
    <w:pPr>
      <w:keepNext/>
      <w:jc w:val="center"/>
      <w:outlineLvl w:val="1"/>
    </w:pPr>
    <w:rPr>
      <w:b/>
      <w:bCs/>
      <w:sz w:val="18"/>
      <w:szCs w:val="18"/>
    </w:rPr>
  </w:style>
  <w:style w:type="paragraph" w:styleId="Heading3">
    <w:name w:val="heading 3"/>
    <w:basedOn w:val="Normal"/>
    <w:next w:val="Normal"/>
    <w:link w:val="Heading3Char"/>
    <w:uiPriority w:val="99"/>
    <w:qFormat/>
    <w:rsid w:val="0040630B"/>
    <w:pPr>
      <w:keepNext/>
      <w:spacing w:before="240" w:after="60"/>
      <w:outlineLvl w:val="2"/>
    </w:pPr>
    <w:rPr>
      <w:b/>
      <w:bCs/>
      <w:sz w:val="26"/>
      <w:szCs w:val="26"/>
    </w:rPr>
  </w:style>
  <w:style w:type="paragraph" w:styleId="Heading4">
    <w:name w:val="heading 4"/>
    <w:basedOn w:val="Normal"/>
    <w:next w:val="Normal"/>
    <w:link w:val="Heading4Char"/>
    <w:uiPriority w:val="99"/>
    <w:qFormat/>
    <w:rsid w:val="0040630B"/>
    <w:pPr>
      <w:keepNext/>
      <w:jc w:val="right"/>
      <w:outlineLvl w:val="3"/>
    </w:pPr>
    <w:rPr>
      <w:b/>
      <w:bCs/>
    </w:rPr>
  </w:style>
  <w:style w:type="paragraph" w:styleId="Heading5">
    <w:name w:val="heading 5"/>
    <w:basedOn w:val="Normal"/>
    <w:next w:val="Normal"/>
    <w:link w:val="Heading5Char"/>
    <w:uiPriority w:val="99"/>
    <w:qFormat/>
    <w:rsid w:val="0040630B"/>
    <w:pPr>
      <w:keepNext/>
      <w:outlineLvl w:val="4"/>
    </w:pPr>
    <w:rPr>
      <w:rFonts w:ascii="Univers" w:hAnsi="Univers" w:cs="Univers"/>
      <w:b/>
      <w:bCs/>
      <w:u w:val="single"/>
    </w:rPr>
  </w:style>
  <w:style w:type="paragraph" w:styleId="Heading6">
    <w:name w:val="heading 6"/>
    <w:basedOn w:val="Normal"/>
    <w:next w:val="Normal"/>
    <w:link w:val="Heading6Char"/>
    <w:uiPriority w:val="99"/>
    <w:qFormat/>
    <w:rsid w:val="0040630B"/>
    <w:pPr>
      <w:keepNext/>
      <w:outlineLvl w:val="5"/>
    </w:pPr>
    <w:rPr>
      <w:rFonts w:ascii="Univers" w:hAnsi="Univers" w:cs="Univers"/>
      <w:b/>
      <w:bCs/>
    </w:rPr>
  </w:style>
  <w:style w:type="paragraph" w:styleId="Heading7">
    <w:name w:val="heading 7"/>
    <w:basedOn w:val="Normal"/>
    <w:next w:val="Normal"/>
    <w:link w:val="Heading7Char"/>
    <w:uiPriority w:val="99"/>
    <w:qFormat/>
    <w:rsid w:val="0040630B"/>
    <w:pPr>
      <w:keepNext/>
      <w:outlineLvl w:val="6"/>
    </w:pPr>
    <w:rPr>
      <w:rFonts w:ascii="Univers" w:hAnsi="Univers" w:cs="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630B"/>
    <w:rPr>
      <w:rFonts w:ascii="Arial" w:hAnsi="Arial" w:cs="Arial"/>
      <w:b/>
      <w:bCs/>
      <w:sz w:val="18"/>
      <w:szCs w:val="18"/>
      <w:lang w:eastAsia="en-GB"/>
    </w:rPr>
  </w:style>
  <w:style w:type="character" w:customStyle="1" w:styleId="Heading3Char">
    <w:name w:val="Heading 3 Char"/>
    <w:basedOn w:val="DefaultParagraphFont"/>
    <w:link w:val="Heading3"/>
    <w:uiPriority w:val="99"/>
    <w:locked/>
    <w:rsid w:val="0040630B"/>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40630B"/>
    <w:rPr>
      <w:rFonts w:ascii="Arial" w:hAnsi="Arial" w:cs="Arial"/>
      <w:b/>
      <w:bCs/>
      <w:sz w:val="24"/>
      <w:szCs w:val="24"/>
      <w:lang w:eastAsia="en-GB"/>
    </w:rPr>
  </w:style>
  <w:style w:type="character" w:customStyle="1" w:styleId="Heading5Char">
    <w:name w:val="Heading 5 Char"/>
    <w:basedOn w:val="DefaultParagraphFont"/>
    <w:link w:val="Heading5"/>
    <w:uiPriority w:val="99"/>
    <w:locked/>
    <w:rsid w:val="0040630B"/>
    <w:rPr>
      <w:rFonts w:ascii="Univers" w:hAnsi="Univers" w:cs="Univers"/>
      <w:b/>
      <w:bCs/>
      <w:sz w:val="24"/>
      <w:szCs w:val="24"/>
      <w:u w:val="single"/>
      <w:lang w:eastAsia="en-GB"/>
    </w:rPr>
  </w:style>
  <w:style w:type="character" w:customStyle="1" w:styleId="Heading6Char">
    <w:name w:val="Heading 6 Char"/>
    <w:basedOn w:val="DefaultParagraphFont"/>
    <w:link w:val="Heading6"/>
    <w:uiPriority w:val="99"/>
    <w:locked/>
    <w:rsid w:val="0040630B"/>
    <w:rPr>
      <w:rFonts w:ascii="Univers" w:hAnsi="Univers" w:cs="Univers"/>
      <w:b/>
      <w:bCs/>
      <w:sz w:val="24"/>
      <w:szCs w:val="24"/>
      <w:lang w:eastAsia="en-GB"/>
    </w:rPr>
  </w:style>
  <w:style w:type="character" w:customStyle="1" w:styleId="Heading7Char">
    <w:name w:val="Heading 7 Char"/>
    <w:basedOn w:val="DefaultParagraphFont"/>
    <w:link w:val="Heading7"/>
    <w:uiPriority w:val="99"/>
    <w:locked/>
    <w:rsid w:val="0040630B"/>
    <w:rPr>
      <w:rFonts w:ascii="Univers" w:hAnsi="Univers" w:cs="Univers"/>
      <w:sz w:val="24"/>
      <w:szCs w:val="24"/>
      <w:u w:val="single"/>
      <w:lang w:eastAsia="en-GB"/>
    </w:rPr>
  </w:style>
  <w:style w:type="paragraph" w:styleId="Header">
    <w:name w:val="header"/>
    <w:basedOn w:val="Normal"/>
    <w:link w:val="HeaderChar"/>
    <w:uiPriority w:val="99"/>
    <w:rsid w:val="0040630B"/>
    <w:rPr>
      <w:rFonts w:ascii="Universal" w:hAnsi="Times New Roman" w:cs="Universal"/>
    </w:rPr>
  </w:style>
  <w:style w:type="character" w:customStyle="1" w:styleId="HeaderChar">
    <w:name w:val="Header Char"/>
    <w:basedOn w:val="DefaultParagraphFont"/>
    <w:link w:val="Header"/>
    <w:uiPriority w:val="99"/>
    <w:locked/>
    <w:rsid w:val="0040630B"/>
    <w:rPr>
      <w:rFonts w:ascii="Universal" w:eastAsia="Times New Roman" w:cs="Universal"/>
      <w:sz w:val="24"/>
      <w:szCs w:val="24"/>
      <w:lang w:eastAsia="en-GB"/>
    </w:rPr>
  </w:style>
  <w:style w:type="paragraph" w:styleId="BodyText2">
    <w:name w:val="Body Text 2"/>
    <w:basedOn w:val="Normal"/>
    <w:link w:val="BodyText2Char"/>
    <w:uiPriority w:val="99"/>
    <w:rsid w:val="0040630B"/>
    <w:pPr>
      <w:spacing w:after="240"/>
      <w:ind w:left="720"/>
    </w:pPr>
  </w:style>
  <w:style w:type="character" w:customStyle="1" w:styleId="BodyText2Char">
    <w:name w:val="Body Text 2 Char"/>
    <w:basedOn w:val="DefaultParagraphFont"/>
    <w:link w:val="BodyText2"/>
    <w:uiPriority w:val="99"/>
    <w:semiHidden/>
    <w:locked/>
    <w:rsid w:val="0040630B"/>
    <w:rPr>
      <w:rFonts w:ascii="Arial" w:hAnsi="Arial" w:cs="Arial"/>
      <w:sz w:val="24"/>
      <w:szCs w:val="24"/>
      <w:lang w:eastAsia="en-GB"/>
    </w:rPr>
  </w:style>
  <w:style w:type="paragraph" w:styleId="BodyText">
    <w:name w:val="Body Text"/>
    <w:basedOn w:val="Normal"/>
    <w:link w:val="BodyTextChar"/>
    <w:uiPriority w:val="99"/>
    <w:rsid w:val="0040630B"/>
  </w:style>
  <w:style w:type="character" w:customStyle="1" w:styleId="BodyTextChar">
    <w:name w:val="Body Text Char"/>
    <w:basedOn w:val="DefaultParagraphFont"/>
    <w:link w:val="BodyText"/>
    <w:uiPriority w:val="99"/>
    <w:locked/>
    <w:rsid w:val="0040630B"/>
    <w:rPr>
      <w:rFonts w:ascii="Arial" w:hAnsi="Arial" w:cs="Arial"/>
      <w:sz w:val="24"/>
      <w:szCs w:val="24"/>
      <w:lang w:eastAsia="en-GB"/>
    </w:rPr>
  </w:style>
  <w:style w:type="paragraph" w:styleId="Footer">
    <w:name w:val="footer"/>
    <w:basedOn w:val="Normal"/>
    <w:link w:val="FooterChar"/>
    <w:uiPriority w:val="99"/>
    <w:rsid w:val="0040630B"/>
    <w:pPr>
      <w:tabs>
        <w:tab w:val="center" w:pos="4153"/>
        <w:tab w:val="right" w:pos="8306"/>
      </w:tabs>
    </w:pPr>
  </w:style>
  <w:style w:type="character" w:customStyle="1" w:styleId="FooterChar">
    <w:name w:val="Footer Char"/>
    <w:basedOn w:val="DefaultParagraphFont"/>
    <w:link w:val="Footer"/>
    <w:uiPriority w:val="99"/>
    <w:locked/>
    <w:rsid w:val="0040630B"/>
    <w:rPr>
      <w:rFonts w:ascii="Arial" w:hAnsi="Arial" w:cs="Arial"/>
      <w:sz w:val="24"/>
      <w:szCs w:val="24"/>
      <w:lang w:eastAsia="en-GB"/>
    </w:rPr>
  </w:style>
  <w:style w:type="character" w:styleId="PageNumber">
    <w:name w:val="page number"/>
    <w:basedOn w:val="DefaultParagraphFont"/>
    <w:uiPriority w:val="99"/>
    <w:rsid w:val="0040630B"/>
    <w:rPr>
      <w:rFonts w:cs="Times New Roman"/>
    </w:rPr>
  </w:style>
  <w:style w:type="paragraph" w:styleId="CommentText">
    <w:name w:val="annotation text"/>
    <w:basedOn w:val="Normal"/>
    <w:link w:val="CommentTextChar"/>
    <w:uiPriority w:val="99"/>
    <w:semiHidden/>
    <w:rsid w:val="0040630B"/>
    <w:rPr>
      <w:sz w:val="20"/>
      <w:szCs w:val="20"/>
    </w:rPr>
  </w:style>
  <w:style w:type="character" w:customStyle="1" w:styleId="CommentTextChar">
    <w:name w:val="Comment Text Char"/>
    <w:basedOn w:val="DefaultParagraphFont"/>
    <w:link w:val="CommentText"/>
    <w:uiPriority w:val="99"/>
    <w:semiHidden/>
    <w:locked/>
    <w:rsid w:val="0040630B"/>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rsid w:val="0040630B"/>
    <w:rPr>
      <w:b/>
      <w:bCs/>
    </w:rPr>
  </w:style>
  <w:style w:type="character" w:customStyle="1" w:styleId="CommentSubjectChar">
    <w:name w:val="Comment Subject Char"/>
    <w:basedOn w:val="CommentTextChar"/>
    <w:link w:val="CommentSubject"/>
    <w:uiPriority w:val="99"/>
    <w:semiHidden/>
    <w:locked/>
    <w:rsid w:val="0040630B"/>
    <w:rPr>
      <w:rFonts w:ascii="Arial" w:hAnsi="Arial" w:cs="Arial"/>
      <w:b/>
      <w:bCs/>
      <w:sz w:val="20"/>
      <w:szCs w:val="20"/>
      <w:lang w:eastAsia="en-GB"/>
    </w:rPr>
  </w:style>
  <w:style w:type="paragraph" w:styleId="BalloonText">
    <w:name w:val="Balloon Text"/>
    <w:basedOn w:val="Normal"/>
    <w:link w:val="BalloonTextChar"/>
    <w:uiPriority w:val="99"/>
    <w:semiHidden/>
    <w:rsid w:val="004063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30B"/>
    <w:rPr>
      <w:rFonts w:ascii="Tahoma" w:hAnsi="Tahoma" w:cs="Tahoma"/>
      <w:sz w:val="16"/>
      <w:szCs w:val="16"/>
      <w:lang w:eastAsia="en-GB"/>
    </w:rPr>
  </w:style>
  <w:style w:type="paragraph" w:styleId="HTMLPreformatted">
    <w:name w:val="HTML Preformatted"/>
    <w:basedOn w:val="Normal"/>
    <w:link w:val="HTMLPreformattedChar"/>
    <w:uiPriority w:val="99"/>
    <w:rsid w:val="0040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0630B"/>
    <w:rPr>
      <w:rFonts w:ascii="Courier New" w:hAnsi="Courier New" w:cs="Courier New"/>
      <w:sz w:val="20"/>
      <w:szCs w:val="20"/>
      <w:lang w:eastAsia="en-GB"/>
    </w:rPr>
  </w:style>
  <w:style w:type="paragraph" w:styleId="Caption">
    <w:name w:val="caption"/>
    <w:basedOn w:val="Normal"/>
    <w:next w:val="Normal"/>
    <w:uiPriority w:val="35"/>
    <w:qFormat/>
    <w:rsid w:val="0040630B"/>
    <w:pPr>
      <w:spacing w:after="240"/>
      <w:ind w:left="720"/>
    </w:pPr>
    <w:rPr>
      <w:b/>
      <w:bCs/>
    </w:rPr>
  </w:style>
  <w:style w:type="paragraph" w:styleId="PlainText">
    <w:name w:val="Plain Text"/>
    <w:basedOn w:val="Normal"/>
    <w:link w:val="PlainTextChar"/>
    <w:uiPriority w:val="99"/>
    <w:rsid w:val="0040630B"/>
    <w:rPr>
      <w:rFonts w:ascii="Consolas" w:hAnsi="Consolas" w:cs="Consolas"/>
      <w:sz w:val="21"/>
      <w:szCs w:val="21"/>
    </w:rPr>
  </w:style>
  <w:style w:type="character" w:customStyle="1" w:styleId="PlainTextChar">
    <w:name w:val="Plain Text Char"/>
    <w:basedOn w:val="DefaultParagraphFont"/>
    <w:link w:val="PlainText"/>
    <w:uiPriority w:val="99"/>
    <w:locked/>
    <w:rsid w:val="0040630B"/>
    <w:rPr>
      <w:rFonts w:ascii="Consolas" w:hAnsi="Consolas" w:cs="Consolas"/>
      <w:sz w:val="21"/>
      <w:szCs w:val="21"/>
      <w:lang w:eastAsia="en-GB"/>
    </w:rPr>
  </w:style>
  <w:style w:type="paragraph" w:styleId="ListParagraph">
    <w:name w:val="List Paragraph"/>
    <w:basedOn w:val="Normal"/>
    <w:uiPriority w:val="34"/>
    <w:qFormat/>
    <w:rsid w:val="0040630B"/>
    <w:pPr>
      <w:ind w:left="720"/>
      <w:contextualSpacing/>
    </w:pPr>
  </w:style>
  <w:style w:type="table" w:styleId="TableGrid">
    <w:name w:val="Table Grid"/>
    <w:basedOn w:val="TableNormal"/>
    <w:uiPriority w:val="59"/>
    <w:rsid w:val="0040630B"/>
    <w:pPr>
      <w:spacing w:after="0" w:line="240" w:lineRule="auto"/>
    </w:pPr>
    <w:rPr>
      <w:rFonts w:ascii="Arial"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DAE"/>
    <w:rPr>
      <w:rFonts w:cs="Times New Roman"/>
      <w:sz w:val="16"/>
      <w:szCs w:val="16"/>
    </w:rPr>
  </w:style>
  <w:style w:type="paragraph" w:styleId="BodyTextIndent">
    <w:name w:val="Body Text Indent"/>
    <w:basedOn w:val="Normal"/>
    <w:link w:val="BodyTextIndentChar"/>
    <w:uiPriority w:val="99"/>
    <w:unhideWhenUsed/>
    <w:rsid w:val="004F3510"/>
    <w:pPr>
      <w:spacing w:after="120"/>
      <w:ind w:left="283"/>
    </w:pPr>
  </w:style>
  <w:style w:type="character" w:customStyle="1" w:styleId="BodyTextIndentChar">
    <w:name w:val="Body Text Indent Char"/>
    <w:basedOn w:val="DefaultParagraphFont"/>
    <w:link w:val="BodyTextIndent"/>
    <w:uiPriority w:val="99"/>
    <w:locked/>
    <w:rsid w:val="004F3510"/>
    <w:rPr>
      <w:rFonts w:ascii="Arial" w:hAnsi="Arial" w:cs="Arial"/>
      <w:sz w:val="24"/>
      <w:szCs w:val="24"/>
      <w:lang w:eastAsia="en-GB"/>
    </w:rPr>
  </w:style>
  <w:style w:type="paragraph" w:styleId="Revision">
    <w:name w:val="Revision"/>
    <w:hidden/>
    <w:uiPriority w:val="99"/>
    <w:semiHidden/>
    <w:rsid w:val="00FF116C"/>
    <w:pPr>
      <w:spacing w:after="0" w:line="240" w:lineRule="auto"/>
    </w:pPr>
    <w:rPr>
      <w:rFonts w:ascii="Arial" w:hAnsi="Arial" w:cs="Arial"/>
      <w:sz w:val="24"/>
      <w:szCs w:val="24"/>
      <w:lang w:eastAsia="en-GB"/>
    </w:rPr>
  </w:style>
  <w:style w:type="numbering" w:customStyle="1" w:styleId="List1">
    <w:name w:val="List1"/>
    <w:pPr>
      <w:numPr>
        <w:numId w:val="11"/>
      </w:numPr>
    </w:pPr>
  </w:style>
  <w:style w:type="paragraph" w:customStyle="1" w:styleId="Default">
    <w:name w:val="Default"/>
    <w:rsid w:val="00D65E6B"/>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BE2FED"/>
    <w:pPr>
      <w:spacing w:after="0" w:line="240" w:lineRule="auto"/>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CFR and Debt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'cfr v debt'!$C$6</c:f>
              <c:strCache>
                <c:ptCount val="1"/>
                <c:pt idx="0">
                  <c:v>CFR</c:v>
                </c:pt>
              </c:strCache>
            </c:strRef>
          </c:tx>
          <c:spPr>
            <a:ln w="28575" cap="rnd">
              <a:solidFill>
                <a:schemeClr val="accent1"/>
              </a:solidFill>
              <a:round/>
            </a:ln>
            <a:effectLst/>
          </c:spPr>
          <c:marker>
            <c:symbol val="none"/>
          </c:marker>
          <c:val>
            <c:numRef>
              <c:f>'cfr v debt'!$C$7:$C$56</c:f>
              <c:numCache>
                <c:formatCode>General</c:formatCode>
                <c:ptCount val="50"/>
                <c:pt idx="0">
                  <c:v>902.995</c:v>
                </c:pt>
                <c:pt idx="1">
                  <c:v>953.17200000000003</c:v>
                </c:pt>
                <c:pt idx="2">
                  <c:v>965.91399999999999</c:v>
                </c:pt>
                <c:pt idx="3">
                  <c:v>941.84799999999996</c:v>
                </c:pt>
                <c:pt idx="4">
                  <c:v>913.59500000000003</c:v>
                </c:pt>
                <c:pt idx="5">
                  <c:v>884.67600000000004</c:v>
                </c:pt>
                <c:pt idx="6">
                  <c:v>855.06600000000003</c:v>
                </c:pt>
                <c:pt idx="7">
                  <c:v>824.74300000000005</c:v>
                </c:pt>
                <c:pt idx="8">
                  <c:v>790.42100000000005</c:v>
                </c:pt>
                <c:pt idx="9">
                  <c:v>758.59400000000005</c:v>
                </c:pt>
                <c:pt idx="10">
                  <c:v>725.97500000000002</c:v>
                </c:pt>
                <c:pt idx="11">
                  <c:v>692.53700000000003</c:v>
                </c:pt>
                <c:pt idx="12">
                  <c:v>658.25</c:v>
                </c:pt>
                <c:pt idx="13">
                  <c:v>623.08500000000004</c:v>
                </c:pt>
                <c:pt idx="14">
                  <c:v>587.01099999999997</c:v>
                </c:pt>
                <c:pt idx="15">
                  <c:v>549.995</c:v>
                </c:pt>
                <c:pt idx="16">
                  <c:v>512.25699999999995</c:v>
                </c:pt>
                <c:pt idx="17">
                  <c:v>473.86200000000002</c:v>
                </c:pt>
                <c:pt idx="18">
                  <c:v>435.43900000000002</c:v>
                </c:pt>
                <c:pt idx="19">
                  <c:v>397.43299999999999</c:v>
                </c:pt>
                <c:pt idx="20">
                  <c:v>362.24599999999998</c:v>
                </c:pt>
                <c:pt idx="21">
                  <c:v>326.12599999999998</c:v>
                </c:pt>
                <c:pt idx="22">
                  <c:v>303.49</c:v>
                </c:pt>
                <c:pt idx="23">
                  <c:v>280.43099999999998</c:v>
                </c:pt>
                <c:pt idx="24">
                  <c:v>256.93599999999998</c:v>
                </c:pt>
                <c:pt idx="25">
                  <c:v>235.45699999999999</c:v>
                </c:pt>
                <c:pt idx="26">
                  <c:v>218.554</c:v>
                </c:pt>
                <c:pt idx="27">
                  <c:v>205.721</c:v>
                </c:pt>
                <c:pt idx="28">
                  <c:v>195.03200000000001</c:v>
                </c:pt>
                <c:pt idx="29">
                  <c:v>184.489</c:v>
                </c:pt>
                <c:pt idx="30">
                  <c:v>173.892</c:v>
                </c:pt>
                <c:pt idx="31">
                  <c:v>163.24100000000001</c:v>
                </c:pt>
                <c:pt idx="32">
                  <c:v>152.53299999999999</c:v>
                </c:pt>
                <c:pt idx="33">
                  <c:v>141.767</c:v>
                </c:pt>
                <c:pt idx="34">
                  <c:v>130.94</c:v>
                </c:pt>
                <c:pt idx="35">
                  <c:v>120.051</c:v>
                </c:pt>
                <c:pt idx="36">
                  <c:v>109.09699999999999</c:v>
                </c:pt>
                <c:pt idx="37">
                  <c:v>98.078000000000003</c:v>
                </c:pt>
                <c:pt idx="38">
                  <c:v>86.99</c:v>
                </c:pt>
                <c:pt idx="39">
                  <c:v>75.831000000000003</c:v>
                </c:pt>
                <c:pt idx="40">
                  <c:v>64.599999999999994</c:v>
                </c:pt>
                <c:pt idx="41">
                  <c:v>53.325000000000003</c:v>
                </c:pt>
                <c:pt idx="42">
                  <c:v>44.438000000000002</c:v>
                </c:pt>
                <c:pt idx="43">
                  <c:v>35.551000000000002</c:v>
                </c:pt>
                <c:pt idx="44">
                  <c:v>26.664000000000001</c:v>
                </c:pt>
                <c:pt idx="45">
                  <c:v>17.777000000000001</c:v>
                </c:pt>
                <c:pt idx="46">
                  <c:v>8.89</c:v>
                </c:pt>
                <c:pt idx="47">
                  <c:v>3.0000000000000001E-3</c:v>
                </c:pt>
                <c:pt idx="48">
                  <c:v>3.0000000000000001E-3</c:v>
                </c:pt>
                <c:pt idx="49">
                  <c:v>3.0000000000000001E-3</c:v>
                </c:pt>
              </c:numCache>
            </c:numRef>
          </c:val>
          <c:smooth val="0"/>
        </c:ser>
        <c:ser>
          <c:idx val="1"/>
          <c:order val="1"/>
          <c:tx>
            <c:strRef>
              <c:f>'cfr v debt'!$D$6</c:f>
              <c:strCache>
                <c:ptCount val="1"/>
                <c:pt idx="0">
                  <c:v>Debt</c:v>
                </c:pt>
              </c:strCache>
            </c:strRef>
          </c:tx>
          <c:spPr>
            <a:ln w="28575" cap="rnd">
              <a:solidFill>
                <a:schemeClr val="accent2"/>
              </a:solidFill>
              <a:round/>
            </a:ln>
            <a:effectLst/>
          </c:spPr>
          <c:marker>
            <c:symbol val="none"/>
          </c:marker>
          <c:val>
            <c:numRef>
              <c:f>'cfr v debt'!$D$7:$D$56</c:f>
              <c:numCache>
                <c:formatCode>General</c:formatCode>
                <c:ptCount val="50"/>
                <c:pt idx="0">
                  <c:v>787.93600000000004</c:v>
                </c:pt>
                <c:pt idx="1">
                  <c:v>383.77499999999998</c:v>
                </c:pt>
                <c:pt idx="2">
                  <c:v>343.06200000000001</c:v>
                </c:pt>
                <c:pt idx="3">
                  <c:v>146.16200000000001</c:v>
                </c:pt>
                <c:pt idx="4">
                  <c:v>145.398</c:v>
                </c:pt>
                <c:pt idx="5">
                  <c:v>134.28299999999999</c:v>
                </c:pt>
                <c:pt idx="6">
                  <c:v>127.749</c:v>
                </c:pt>
                <c:pt idx="7">
                  <c:v>120.8</c:v>
                </c:pt>
                <c:pt idx="8">
                  <c:v>113.627</c:v>
                </c:pt>
                <c:pt idx="9">
                  <c:v>106.297</c:v>
                </c:pt>
                <c:pt idx="10">
                  <c:v>100.40900000000001</c:v>
                </c:pt>
                <c:pt idx="11">
                  <c:v>92.828999999999994</c:v>
                </c:pt>
                <c:pt idx="12">
                  <c:v>84.001000000000005</c:v>
                </c:pt>
                <c:pt idx="13">
                  <c:v>86.338999999999999</c:v>
                </c:pt>
                <c:pt idx="14">
                  <c:v>73.557000000000002</c:v>
                </c:pt>
                <c:pt idx="15">
                  <c:v>55.621000000000002</c:v>
                </c:pt>
                <c:pt idx="16">
                  <c:v>37.631999999999998</c:v>
                </c:pt>
                <c:pt idx="17">
                  <c:v>39.557000000000002</c:v>
                </c:pt>
                <c:pt idx="18">
                  <c:v>41.454000000000001</c:v>
                </c:pt>
                <c:pt idx="19">
                  <c:v>43.323999999999998</c:v>
                </c:pt>
                <c:pt idx="20">
                  <c:v>44.057000000000002</c:v>
                </c:pt>
                <c:pt idx="21">
                  <c:v>44.765999999999998</c:v>
                </c:pt>
                <c:pt idx="22">
                  <c:v>45.45</c:v>
                </c:pt>
                <c:pt idx="23">
                  <c:v>46.112000000000002</c:v>
                </c:pt>
                <c:pt idx="24">
                  <c:v>16.751999999999999</c:v>
                </c:pt>
                <c:pt idx="25">
                  <c:v>17.344999999999999</c:v>
                </c:pt>
                <c:pt idx="26">
                  <c:v>17.893000000000001</c:v>
                </c:pt>
                <c:pt idx="27">
                  <c:v>18.420000000000002</c:v>
                </c:pt>
                <c:pt idx="28">
                  <c:v>18.93</c:v>
                </c:pt>
                <c:pt idx="29">
                  <c:v>19.420999999999999</c:v>
                </c:pt>
                <c:pt idx="30">
                  <c:v>19.895</c:v>
                </c:pt>
                <c:pt idx="31">
                  <c:v>20.353000000000002</c:v>
                </c:pt>
                <c:pt idx="32">
                  <c:v>20.795000000000002</c:v>
                </c:pt>
                <c:pt idx="33">
                  <c:v>21.222000000000001</c:v>
                </c:pt>
                <c:pt idx="34">
                  <c:v>21.635000000000002</c:v>
                </c:pt>
                <c:pt idx="35">
                  <c:v>21.969000000000001</c:v>
                </c:pt>
                <c:pt idx="36">
                  <c:v>22.291</c:v>
                </c:pt>
                <c:pt idx="37">
                  <c:v>22.599</c:v>
                </c:pt>
                <c:pt idx="38">
                  <c:v>22.895</c:v>
                </c:pt>
                <c:pt idx="39">
                  <c:v>23.178999999999998</c:v>
                </c:pt>
                <c:pt idx="40">
                  <c:v>-6.548</c:v>
                </c:pt>
                <c:pt idx="41">
                  <c:v>-6.2859999999999996</c:v>
                </c:pt>
                <c:pt idx="42">
                  <c:v>-6.0350000000000001</c:v>
                </c:pt>
                <c:pt idx="43">
                  <c:v>-5.7930000000000001</c:v>
                </c:pt>
                <c:pt idx="44">
                  <c:v>-5.5609999999999999</c:v>
                </c:pt>
                <c:pt idx="45">
                  <c:v>-5.3390000000000004</c:v>
                </c:pt>
                <c:pt idx="46">
                  <c:v>-5.125</c:v>
                </c:pt>
                <c:pt idx="47">
                  <c:v>-4.92</c:v>
                </c:pt>
                <c:pt idx="48">
                  <c:v>-4.7240000000000002</c:v>
                </c:pt>
                <c:pt idx="49">
                  <c:v>0</c:v>
                </c:pt>
              </c:numCache>
            </c:numRef>
          </c:val>
          <c:smooth val="0"/>
        </c:ser>
        <c:dLbls>
          <c:showLegendKey val="0"/>
          <c:showVal val="0"/>
          <c:showCatName val="0"/>
          <c:showSerName val="0"/>
          <c:showPercent val="0"/>
          <c:showBubbleSize val="0"/>
        </c:dLbls>
        <c:smooth val="0"/>
        <c:axId val="301978864"/>
        <c:axId val="357305464"/>
      </c:lineChart>
      <c:catAx>
        <c:axId val="3019788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305464"/>
        <c:crosses val="autoZero"/>
        <c:auto val="1"/>
        <c:lblAlgn val="ctr"/>
        <c:lblOffset val="100"/>
        <c:noMultiLvlLbl val="0"/>
      </c:catAx>
      <c:valAx>
        <c:axId val="357305464"/>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978864"/>
        <c:crosses val="autoZero"/>
        <c:crossBetween val="between"/>
      </c:valAx>
      <c:spPr>
        <a:noFill/>
        <a:ln>
          <a:noFill/>
        </a:ln>
        <a:effectLst/>
      </c:spPr>
    </c:plotArea>
    <c:legend>
      <c:legendPos val="t"/>
      <c:layout>
        <c:manualLayout>
          <c:xMode val="edge"/>
          <c:yMode val="edge"/>
          <c:x val="0.77590911688802722"/>
          <c:y val="0.21081433673249855"/>
          <c:w val="0.1347115048118985"/>
          <c:h val="0.15682925051035285"/>
        </c:manualLayout>
      </c:layout>
      <c:overlay val="1"/>
      <c:spPr>
        <a:noFill/>
        <a:ln>
          <a:noFill/>
        </a:ln>
        <a:effectLst/>
      </c:spPr>
      <c:txPr>
        <a:bodyPr rot="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71F9F-1A67-44FE-897D-56C6A13E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23</Pages>
  <Words>7893</Words>
  <Characters>42568</Characters>
  <Application>Microsoft Office Word</Application>
  <DocSecurity>0</DocSecurity>
  <Lines>354</Lines>
  <Paragraphs>100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Mansfield, Joanne</cp:lastModifiedBy>
  <cp:revision>42</cp:revision>
  <cp:lastPrinted>2018-01-15T10:38:00Z</cp:lastPrinted>
  <dcterms:created xsi:type="dcterms:W3CDTF">2018-01-11T12:55:00Z</dcterms:created>
  <dcterms:modified xsi:type="dcterms:W3CDTF">2018-01-17T13:40:00Z</dcterms:modified>
</cp:coreProperties>
</file>